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300"/>
              <w:left w:type="dxa" w:w="360"/>
              <w:bottom w:type="dxa" w:w="300"/>
              <w:right w:type="dxa" w:w="360"/>
            </w:tcMar>
          </w:tcPr>
          <w:p>
            <w:pPr>
              <w:spacing w:after="80"/>
              <w:jc w:val="left"/>
            </w:pPr>
            <w:r>
              <w:rPr>
                <w:rFonts w:ascii="Arial" w:cs="Arial" w:eastAsia="Arial" w:hAnsi="Arial"/>
                <w:b/>
                <w:bCs/>
                <w:color w:val="88BBDD"/>
                <w:sz w:val="18"/>
                <w:szCs w:val="18"/>
              </w:rPr>
              <w:t xml:space="preserve">COURSE SYLLABUS</w:t>
            </w:r>
          </w:p>
          <w:p>
            <w:pPr>
              <w:spacing w:after="80"/>
              <w:jc w:val="left"/>
            </w:pPr>
            <w:r>
              <w:rPr>
                <w:rFonts w:ascii="Arial" w:cs="Arial" w:eastAsia="Arial" w:hAnsi="Arial"/>
                <w:b/>
                <w:bCs/>
                <w:color w:val="FFFFFF"/>
                <w:sz w:val="40"/>
                <w:szCs w:val="40"/>
              </w:rPr>
              <w:t xml:space="preserve">Understanding Antiscience:</w:t>
            </w:r>
          </w:p>
          <w:p>
            <w:pPr>
              <w:spacing w:after="120"/>
              <w:jc w:val="left"/>
            </w:pPr>
            <w:r>
              <w:rPr>
                <w:rFonts w:ascii="Arial" w:cs="Arial" w:eastAsia="Arial" w:hAnsi="Arial"/>
                <w:b w:val="false"/>
                <w:bCs w:val="false"/>
                <w:color w:val="AACCEE"/>
                <w:sz w:val="32"/>
                <w:szCs w:val="32"/>
              </w:rPr>
              <w:t xml:space="preserve">Origins, Mechanisms, and Countermeasures</w:t>
            </w:r>
          </w:p>
          <w:p>
            <w:pPr>
              <w:jc w:val="left"/>
            </w:pPr>
            <w:r>
              <w:rPr>
                <w:rFonts w:ascii="Arial" w:cs="Arial" w:eastAsia="Arial" w:hAnsi="Arial"/>
                <w:i/>
                <w:iCs/>
                <w:color w:val="BBDDEE"/>
                <w:sz w:val="20"/>
                <w:szCs w:val="20"/>
              </w:rPr>
              <w:t xml:space="preserve">An interdisciplinary reading course for educators, researchers, and science communicators</w:t>
            </w:r>
          </w:p>
        </w:tc>
      </w:tr>
    </w:tbl>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5360"/>
        <w:gridCol w:w="2000"/>
      </w:tblGrid>
      <w:tr>
        <w:tc>
          <w:tcPr>
            <w:tcW w:type="dxa" w:w="2000"/>
            <w:tcBorders>
              <w:top w:val="single" w:color="CCCCCC" w:sz="1"/>
              <w:left w:val="single" w:color="CCCCCC" w:sz="1"/>
              <w:bottom w:val="single" w:color="CCCCCC" w:sz="1"/>
              <w:right w:val="single" w:color="CCCCCC" w:sz="1"/>
            </w:tcBorders>
            <w:shd w:fill="D6E8F7" w:val="clear"/>
            <w:tcMar>
              <w:top w:type="dxa" w:w="80"/>
              <w:left w:type="dxa" w:w="120"/>
              <w:bottom w:type="dxa" w:w="80"/>
              <w:right w:type="dxa" w:w="120"/>
            </w:tcMar>
          </w:tcPr>
          <w:p>
            <w:r>
              <w:rPr>
                <w:rFonts w:ascii="Arial" w:cs="Arial" w:eastAsia="Arial" w:hAnsi="Arial"/>
                <w:b/>
                <w:bCs/>
                <w:color w:val="1A3A5C"/>
                <w:sz w:val="18"/>
                <w:szCs w:val="18"/>
              </w:rPr>
              <w:t xml:space="preserve">Duration</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12 weeks (adaptable to semester or intensive formats)</w:t>
            </w:r>
          </w:p>
        </w:tc>
        <w:tc>
          <w:tcPr>
            <w:tcW w:type="dxa" w:w="2000"/>
            <w:tcBorders>
              <w:top w:val="single" w:color="CCCCCC" w:sz="1"/>
              <w:left w:val="single" w:color="CCCCCC" w:sz="1"/>
              <w:bottom w:val="single" w:color="CCCCCC" w:sz="1"/>
              <w:right w:val="single" w:color="CCCCCC" w:sz="1"/>
            </w:tcBorders>
            <w:shd w:fill="D6E8F7" w:val="clear"/>
            <w:tcMar>
              <w:top w:type="dxa" w:w="80"/>
              <w:left w:type="dxa" w:w="120"/>
              <w:bottom w:type="dxa" w:w="80"/>
              <w:right w:type="dxa" w:w="120"/>
            </w:tcMar>
          </w:tcPr>
          <w:p>
            <w:r>
              <w:rPr>
                <w:rFonts w:ascii="Arial" w:cs="Arial" w:eastAsia="Arial" w:hAnsi="Arial"/>
                <w:b/>
                <w:bCs/>
                <w:color w:val="1A3A5C"/>
                <w:sz w:val="18"/>
                <w:szCs w:val="18"/>
              </w:rPr>
              <w:t xml:space="preserve">Level</w:t>
            </w:r>
          </w:p>
        </w:tc>
      </w:tr>
      <w:tr>
        <w:tc>
          <w:tcPr>
            <w:tcW w:type="dxa" w:w="2000"/>
            <w:tcBorders>
              <w:top w:val="single" w:color="CCCCCC" w:sz="1"/>
              <w:left w:val="single" w:color="CCCCCC" w:sz="1"/>
              <w:bottom w:val="single" w:color="CCCCCC" w:sz="1"/>
              <w:right w:val="single" w:color="CCCCCC" w:sz="1"/>
            </w:tcBorders>
            <w:shd w:fill="D6E8F7" w:val="clear"/>
            <w:tcMar>
              <w:top w:type="dxa" w:w="80"/>
              <w:left w:type="dxa" w:w="120"/>
              <w:bottom w:type="dxa" w:w="80"/>
              <w:right w:type="dxa" w:w="120"/>
            </w:tcMar>
          </w:tcPr>
          <w:p>
            <w:r>
              <w:rPr>
                <w:rFonts w:ascii="Arial" w:cs="Arial" w:eastAsia="Arial" w:hAnsi="Arial"/>
                <w:b/>
                <w:bCs/>
                <w:color w:val="1A3A5C"/>
                <w:sz w:val="18"/>
                <w:szCs w:val="18"/>
              </w:rPr>
              <w:t xml:space="preserve">Format</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Weekly readings + discussion; suitable for seminar, online, or self-directed study</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Upper undergrad / graduate / professional development</w:t>
            </w:r>
          </w:p>
        </w:tc>
      </w:tr>
    </w:tbl>
    <w:p>
      <w:pPr>
        <w:spacing w:after="0" w:before="200"/>
      </w:pPr>
      <w:r>
        <w:t xml:space="preserve"/>
      </w:r>
    </w:p>
    <w:p>
      <w:pPr>
        <w:pStyle w:val="Heading1"/>
        <w:pBdr>
          <w:bottom w:val="single" w:color="2E6DA4" w:sz="6" w:space="4"/>
        </w:pBdr>
        <w:spacing w:after="120" w:before="360"/>
      </w:pPr>
      <w:r>
        <w:rPr>
          <w:rFonts w:ascii="Arial" w:cs="Arial" w:eastAsia="Arial" w:hAnsi="Arial"/>
          <w:b/>
          <w:bCs/>
          <w:color w:val="1A3A5C"/>
          <w:sz w:val="28"/>
          <w:szCs w:val="28"/>
        </w:rPr>
        <w:t xml:space="preserve">Course Description</w:t>
      </w:r>
    </w:p>
    <w:p>
      <w:pPr>
        <w:spacing w:after="60" w:before="60"/>
      </w:pPr>
      <w:r>
        <w:rPr>
          <w:rFonts w:ascii="Arial" w:cs="Arial" w:eastAsia="Arial" w:hAnsi="Arial"/>
          <w:color w:val="1A1A1A"/>
          <w:sz w:val="20"/>
          <w:szCs w:val="20"/>
        </w:rPr>
        <w:t xml:space="preserve">This course offers a structured, interdisciplinary examination of antiscience: what it is, where it comes from, how it spreads, and what evidence-based strategies exist to counter it. Drawing from history and philosophy of science, cognitive psychology, sociology, media studies, and science policy, students will build both a conceptual framework and a practical toolkit for understanding and responding to science denial in educational and public settings.</w:t>
      </w:r>
    </w:p>
    <w:p>
      <w:pPr>
        <w:spacing w:after="0" w:before="80"/>
      </w:pPr>
      <w:r>
        <w:t xml:space="preserve"/>
      </w:r>
    </w:p>
    <w:p>
      <w:pPr>
        <w:pStyle w:val="Heading1"/>
        <w:pBdr>
          <w:bottom w:val="single" w:color="2E6DA4" w:sz="6" w:space="4"/>
        </w:pBdr>
        <w:spacing w:after="120" w:before="360"/>
      </w:pPr>
      <w:r>
        <w:rPr>
          <w:rFonts w:ascii="Arial" w:cs="Arial" w:eastAsia="Arial" w:hAnsi="Arial"/>
          <w:b/>
          <w:bCs/>
          <w:color w:val="1A3A5C"/>
          <w:sz w:val="28"/>
          <w:szCs w:val="28"/>
        </w:rPr>
        <w:t xml:space="preserve">Learning Objectives</w:t>
      </w:r>
    </w:p>
    <w:p>
      <w:pPr>
        <w:spacing w:after="60" w:before="60"/>
      </w:pPr>
      <w:r>
        <w:rPr>
          <w:rFonts w:ascii="Arial" w:cs="Arial" w:eastAsia="Arial" w:hAnsi="Arial"/>
          <w:color w:val="1A1A1A"/>
          <w:sz w:val="20"/>
          <w:szCs w:val="20"/>
        </w:rPr>
        <w:t xml:space="preserve">By the end of this course, students will be able to:</w:t>
      </w:r>
    </w:p>
    <w:p>
      <w:pPr>
        <w:pStyle w:val="ListParagraph"/>
        <w:numPr>
          <w:ilvl w:val="0"/>
          <w:numId w:val="2"/>
        </w:numPr>
        <w:spacing w:after="40" w:before="40"/>
      </w:pPr>
      <w:r>
        <w:rPr>
          <w:rFonts w:ascii="Arial" w:cs="Arial" w:eastAsia="Arial" w:hAnsi="Arial"/>
          <w:color w:val="1A1A1A"/>
          <w:sz w:val="20"/>
          <w:szCs w:val="20"/>
        </w:rPr>
        <w:t xml:space="preserve">Identify and analyse the historical and ideological roots of antiscience movements</w:t>
      </w:r>
    </w:p>
    <w:p>
      <w:pPr>
        <w:pStyle w:val="ListParagraph"/>
        <w:numPr>
          <w:ilvl w:val="0"/>
          <w:numId w:val="2"/>
        </w:numPr>
        <w:spacing w:after="40" w:before="40"/>
      </w:pPr>
      <w:r>
        <w:rPr>
          <w:rFonts w:ascii="Arial" w:cs="Arial" w:eastAsia="Arial" w:hAnsi="Arial"/>
          <w:color w:val="1A1A1A"/>
          <w:sz w:val="20"/>
          <w:szCs w:val="20"/>
        </w:rPr>
        <w:t xml:space="preserve">Explain the cognitive and social mechanisms that make science denial persuasive</w:t>
      </w:r>
    </w:p>
    <w:p>
      <w:pPr>
        <w:pStyle w:val="ListParagraph"/>
        <w:numPr>
          <w:ilvl w:val="0"/>
          <w:numId w:val="2"/>
        </w:numPr>
        <w:spacing w:after="40" w:before="40"/>
      </w:pPr>
      <w:r>
        <w:rPr>
          <w:rFonts w:ascii="Arial" w:cs="Arial" w:eastAsia="Arial" w:hAnsi="Arial"/>
          <w:color w:val="1A1A1A"/>
          <w:sz w:val="20"/>
          <w:szCs w:val="20"/>
        </w:rPr>
        <w:t xml:space="preserve">Critically evaluate primary sources, media coverage, and data visualisations for accuracy and bias</w:t>
      </w:r>
    </w:p>
    <w:p>
      <w:pPr>
        <w:pStyle w:val="ListParagraph"/>
        <w:numPr>
          <w:ilvl w:val="0"/>
          <w:numId w:val="2"/>
        </w:numPr>
        <w:spacing w:after="40" w:before="40"/>
      </w:pPr>
      <w:r>
        <w:rPr>
          <w:rFonts w:ascii="Arial" w:cs="Arial" w:eastAsia="Arial" w:hAnsi="Arial"/>
          <w:color w:val="1A1A1A"/>
          <w:sz w:val="20"/>
          <w:szCs w:val="20"/>
        </w:rPr>
        <w:t xml:space="preserve">Apply prebunking and inoculation theory strategies in educational contexts</w:t>
      </w:r>
    </w:p>
    <w:p>
      <w:pPr>
        <w:pStyle w:val="ListParagraph"/>
        <w:numPr>
          <w:ilvl w:val="0"/>
          <w:numId w:val="2"/>
        </w:numPr>
        <w:spacing w:after="40" w:before="40"/>
      </w:pPr>
      <w:r>
        <w:rPr>
          <w:rFonts w:ascii="Arial" w:cs="Arial" w:eastAsia="Arial" w:hAnsi="Arial"/>
          <w:color w:val="1A1A1A"/>
          <w:sz w:val="20"/>
          <w:szCs w:val="20"/>
        </w:rPr>
        <w:t xml:space="preserve">Formulate evidence-based policy recommendations for rebuilding public trust in science</w:t>
      </w:r>
    </w:p>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20"/>
              <w:left w:type="dxa" w:w="200"/>
              <w:bottom w:type="dxa" w:w="120"/>
              <w:right w:type="dxa" w:w="200"/>
            </w:tcMar>
          </w:tcPr>
          <w:p>
            <w:pPr>
              <w:jc w:val="left"/>
            </w:pPr>
            <w:r>
              <w:rPr>
                <w:rFonts w:ascii="Arial" w:cs="Arial" w:eastAsia="Arial" w:hAnsi="Arial"/>
                <w:b/>
                <w:bCs/>
                <w:color w:val="AACCEE"/>
                <w:sz w:val="20"/>
                <w:szCs w:val="20"/>
              </w:rPr>
              <w:t xml:space="preserve">UNIT 1  |  Weeks 1–2  </w:t>
            </w:r>
            <w:r>
              <w:rPr>
                <w:rFonts w:ascii="Arial" w:cs="Arial" w:eastAsia="Arial" w:hAnsi="Arial"/>
                <w:b/>
                <w:bCs/>
                <w:color w:val="FFFFFF"/>
                <w:sz w:val="24"/>
                <w:szCs w:val="24"/>
              </w:rPr>
              <w:t xml:space="preserve">Foundations: What Is Antiscience?</w:t>
            </w:r>
          </w:p>
        </w:tc>
      </w:tr>
    </w:tbl>
    <w:p>
      <w:pPr>
        <w:spacing w:after="0" w:before="120"/>
      </w:pPr>
      <w:r>
        <w:t xml:space="preserve"/>
      </w:r>
    </w:p>
    <w:p>
      <w:pPr>
        <w:spacing w:after="60" w:before="200"/>
      </w:pPr>
      <w:r>
        <w:rPr>
          <w:rFonts w:ascii="Arial" w:cs="Arial" w:eastAsia="Arial" w:hAnsi="Arial"/>
          <w:b/>
          <w:bCs/>
          <w:color w:val="1A3A5C"/>
          <w:sz w:val="22"/>
          <w:szCs w:val="22"/>
        </w:rPr>
        <w:t xml:space="preserve">Overview</w:t>
      </w:r>
    </w:p>
    <w:p>
      <w:pPr>
        <w:spacing w:after="60" w:before="60"/>
      </w:pPr>
      <w:r>
        <w:rPr>
          <w:rFonts w:ascii="Arial" w:cs="Arial" w:eastAsia="Arial" w:hAnsi="Arial"/>
          <w:color w:val="1A1A1A"/>
          <w:sz w:val="20"/>
          <w:szCs w:val="20"/>
        </w:rPr>
        <w:t xml:space="preserve">We begin by defining our terms. What distinguishes legitimate scientific scepticism from science denial? How have historians and philosophers characterised the relationship between science and society? This unit establishes the conceptual vocabulary for the entire course.</w:t>
      </w:r>
    </w:p>
    <w:p>
      <w:pPr>
        <w:spacing w:after="0" w:before="80"/>
      </w:pPr>
      <w:r>
        <w:t xml:space="preserve"/>
      </w:r>
    </w:p>
    <w:p>
      <w:pPr>
        <w:spacing w:after="60" w:before="200"/>
      </w:pPr>
      <w:r>
        <w:rPr>
          <w:rFonts w:ascii="Arial" w:cs="Arial" w:eastAsia="Arial" w:hAnsi="Arial"/>
          <w:b/>
          <w:bCs/>
          <w:color w:val="1A3A5C"/>
          <w:sz w:val="22"/>
          <w:szCs w:val="22"/>
        </w:rPr>
        <w:t xml:space="preserve">Required Readings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CCCCCC" w:sz="1"/>
              <w:left w:val="single" w:color="CCCCCC" w:sz="1"/>
              <w:bottom w:val="single" w:color="CCCCCC" w:sz="1"/>
              <w:right w:val="single" w:color="CCCCCC" w:sz="1"/>
            </w:tcBorders>
            <w:shd w:fill="2E6DA4" w:val="clear"/>
            <w:tcMar>
              <w:top w:type="dxa" w:w="80"/>
              <w:left w:type="dxa" w:w="120"/>
              <w:bottom w:type="dxa" w:w="80"/>
              <w:right w:type="dxa" w:w="120"/>
            </w:tcMar>
          </w:tcPr>
          <w:p>
            <w:r>
              <w:rPr>
                <w:rFonts w:ascii="Arial" w:cs="Arial" w:eastAsia="Arial" w:hAnsi="Arial"/>
                <w:b/>
                <w:bCs/>
                <w:color w:val="FFFFFF"/>
                <w:sz w:val="18"/>
                <w:szCs w:val="18"/>
              </w:rPr>
              <w:t xml:space="preserve">Source</w:t>
            </w:r>
          </w:p>
        </w:tc>
        <w:tc>
          <w:tcPr>
            <w:tcW w:type="dxa" w:w="5860"/>
            <w:tcBorders>
              <w:top w:val="single" w:color="CCCCCC" w:sz="1"/>
              <w:left w:val="single" w:color="CCCCCC" w:sz="1"/>
              <w:bottom w:val="single" w:color="CCCCCC" w:sz="1"/>
              <w:right w:val="single" w:color="CCCCCC" w:sz="1"/>
            </w:tcBorders>
            <w:shd w:fill="2E6DA4" w:val="clear"/>
            <w:tcMar>
              <w:top w:type="dxa" w:w="80"/>
              <w:left w:type="dxa" w:w="120"/>
              <w:bottom w:type="dxa" w:w="80"/>
              <w:right w:type="dxa" w:w="120"/>
            </w:tcMar>
          </w:tcPr>
          <w:p>
            <w:r>
              <w:rPr>
                <w:rFonts w:ascii="Arial" w:cs="Arial" w:eastAsia="Arial" w:hAnsi="Arial"/>
                <w:b/>
                <w:bCs/>
                <w:color w:val="FFFFFF"/>
                <w:sz w:val="18"/>
                <w:szCs w:val="18"/>
              </w:rPr>
              <w:t xml:space="preserve">Focus / Teaching Note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3A5C"/>
                <w:sz w:val="18"/>
                <w:szCs w:val="18"/>
              </w:rPr>
              <w:t xml:space="preserve">Sagan (1995)</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The Demon-Haunted World, Ch. 1–3. Still the most lucid introduction to scientific epistemology and the baloney detection kit. Assign as the course's foundational text.</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3A5C"/>
                <w:sz w:val="18"/>
                <w:szCs w:val="18"/>
              </w:rPr>
              <w:t xml:space="preserve">Oreskes &amp; Conway (2010)</w:t>
            </w:r>
          </w:p>
        </w:tc>
        <w:tc>
          <w:tcPr>
            <w:tcW w:type="dxa" w:w="58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color w:val="1A1A1A"/>
                <w:sz w:val="18"/>
                <w:szCs w:val="18"/>
              </w:rPr>
              <w:t xml:space="preserve">Merchants of Doubt, Introduction + Ch. 1. Sets up the tobacco-to-climate doubt-manufacturing playbook that recurs throughout the course.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3A5C"/>
                <w:sz w:val="18"/>
                <w:szCs w:val="18"/>
              </w:rPr>
              <w:t xml:space="preserve">Lewandowsky et al. (2012)</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'NASA Faked the Moon Landing — Therefore (Climate) Science Is a Hoax' — Psychological Science. Introduces the conspiracy-ideation framework; excellent for discussion.</w:t>
            </w:r>
          </w:p>
        </w:tc>
      </w:tr>
    </w:tbl>
    <w:p>
      <w:pPr>
        <w:spacing w:after="0" w:before="80"/>
      </w:pPr>
      <w:r>
        <w:t xml:space="preserve"/>
      </w:r>
    </w:p>
    <w:p>
      <w:pPr>
        <w:spacing w:after="60" w:before="200"/>
      </w:pPr>
      <w:r>
        <w:rPr>
          <w:rFonts w:ascii="Arial" w:cs="Arial" w:eastAsia="Arial" w:hAnsi="Arial"/>
          <w:b/>
          <w:bCs/>
          <w:color w:val="1A3A5C"/>
          <w:sz w:val="22"/>
          <w:szCs w:val="22"/>
        </w:rPr>
        <w:t xml:space="preserve">Discussion Prompts</w:t>
      </w:r>
    </w:p>
    <w:p>
      <w:pPr>
        <w:pStyle w:val="ListParagraph"/>
        <w:numPr>
          <w:ilvl w:val="0"/>
          <w:numId w:val="2"/>
        </w:numPr>
        <w:spacing w:after="40" w:before="40"/>
      </w:pPr>
      <w:r>
        <w:rPr>
          <w:rFonts w:ascii="Arial" w:cs="Arial" w:eastAsia="Arial" w:hAnsi="Arial"/>
          <w:color w:val="1A1A1A"/>
          <w:sz w:val="20"/>
          <w:szCs w:val="20"/>
        </w:rPr>
        <w:t xml:space="preserve">What is the difference between scepticism and denial? Can the line ever be genuinely ambiguous?</w:t>
      </w:r>
    </w:p>
    <w:p>
      <w:pPr>
        <w:pStyle w:val="ListParagraph"/>
        <w:numPr>
          <w:ilvl w:val="0"/>
          <w:numId w:val="2"/>
        </w:numPr>
        <w:spacing w:after="40" w:before="40"/>
      </w:pPr>
      <w:r>
        <w:rPr>
          <w:rFonts w:ascii="Arial" w:cs="Arial" w:eastAsia="Arial" w:hAnsi="Arial"/>
          <w:color w:val="1A1A1A"/>
          <w:sz w:val="20"/>
          <w:szCs w:val="20"/>
        </w:rPr>
        <w:t xml:space="preserve">Lewandowsky et al. found that conspiracy ideation predicted rejection of multiple scientific consensuses. What does this suggest about how antiscience should be addressed?</w:t>
      </w:r>
    </w:p>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20"/>
              <w:left w:type="dxa" w:w="200"/>
              <w:bottom w:type="dxa" w:w="120"/>
              <w:right w:type="dxa" w:w="200"/>
            </w:tcMar>
          </w:tcPr>
          <w:p>
            <w:pPr>
              <w:jc w:val="left"/>
            </w:pPr>
            <w:r>
              <w:rPr>
                <w:rFonts w:ascii="Arial" w:cs="Arial" w:eastAsia="Arial" w:hAnsi="Arial"/>
                <w:b/>
                <w:bCs/>
                <w:color w:val="AACCEE"/>
                <w:sz w:val="20"/>
                <w:szCs w:val="20"/>
              </w:rPr>
              <w:t xml:space="preserve">UNIT 2  |  Weeks 3–4  </w:t>
            </w:r>
            <w:r>
              <w:rPr>
                <w:rFonts w:ascii="Arial" w:cs="Arial" w:eastAsia="Arial" w:hAnsi="Arial"/>
                <w:b/>
                <w:bCs/>
                <w:color w:val="FFFFFF"/>
                <w:sz w:val="24"/>
                <w:szCs w:val="24"/>
              </w:rPr>
              <w:t xml:space="preserve">Historical Roots of Science Denial</w:t>
            </w:r>
          </w:p>
        </w:tc>
      </w:tr>
    </w:tbl>
    <w:p>
      <w:pPr>
        <w:spacing w:after="0" w:before="120"/>
      </w:pPr>
      <w:r>
        <w:t xml:space="preserve"/>
      </w:r>
    </w:p>
    <w:p>
      <w:pPr>
        <w:spacing w:after="60" w:before="200"/>
      </w:pPr>
      <w:r>
        <w:rPr>
          <w:rFonts w:ascii="Arial" w:cs="Arial" w:eastAsia="Arial" w:hAnsi="Arial"/>
          <w:b/>
          <w:bCs/>
          <w:color w:val="1A3A5C"/>
          <w:sz w:val="22"/>
          <w:szCs w:val="22"/>
        </w:rPr>
        <w:t xml:space="preserve">Overview</w:t>
      </w:r>
    </w:p>
    <w:p>
      <w:pPr>
        <w:spacing w:after="60" w:before="60"/>
      </w:pPr>
      <w:r>
        <w:rPr>
          <w:rFonts w:ascii="Arial" w:cs="Arial" w:eastAsia="Arial" w:hAnsi="Arial"/>
          <w:color w:val="1A1A1A"/>
          <w:sz w:val="20"/>
          <w:szCs w:val="20"/>
        </w:rPr>
        <w:t xml:space="preserve">Antiscience is not a product of the internet age. This unit traces the deep historical roots of organised science denial, from tobacco industry tactics in the 1950s through the climate wars of the 1990s–2000s, revealing the strategic infrastructure that underpins modern movements.</w:t>
      </w:r>
    </w:p>
    <w:p>
      <w:pPr>
        <w:spacing w:after="0" w:before="80"/>
      </w:pPr>
      <w:r>
        <w:t xml:space="preserve"/>
      </w:r>
    </w:p>
    <w:p>
      <w:pPr>
        <w:spacing w:after="60" w:before="200"/>
      </w:pPr>
      <w:r>
        <w:rPr>
          <w:rFonts w:ascii="Arial" w:cs="Arial" w:eastAsia="Arial" w:hAnsi="Arial"/>
          <w:b/>
          <w:bCs/>
          <w:color w:val="1A3A5C"/>
          <w:sz w:val="22"/>
          <w:szCs w:val="22"/>
        </w:rPr>
        <w:t xml:space="preserve">Required Readings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CCCCCC" w:sz="1"/>
              <w:left w:val="single" w:color="CCCCCC" w:sz="1"/>
              <w:bottom w:val="single" w:color="CCCCCC" w:sz="1"/>
              <w:right w:val="single" w:color="CCCCCC" w:sz="1"/>
            </w:tcBorders>
            <w:shd w:fill="2E6DA4" w:val="clear"/>
            <w:tcMar>
              <w:top w:type="dxa" w:w="80"/>
              <w:left w:type="dxa" w:w="120"/>
              <w:bottom w:type="dxa" w:w="80"/>
              <w:right w:type="dxa" w:w="120"/>
            </w:tcMar>
          </w:tcPr>
          <w:p>
            <w:r>
              <w:rPr>
                <w:rFonts w:ascii="Arial" w:cs="Arial" w:eastAsia="Arial" w:hAnsi="Arial"/>
                <w:b/>
                <w:bCs/>
                <w:color w:val="FFFFFF"/>
                <w:sz w:val="18"/>
                <w:szCs w:val="18"/>
              </w:rPr>
              <w:t xml:space="preserve">Source</w:t>
            </w:r>
          </w:p>
        </w:tc>
        <w:tc>
          <w:tcPr>
            <w:tcW w:type="dxa" w:w="5860"/>
            <w:tcBorders>
              <w:top w:val="single" w:color="CCCCCC" w:sz="1"/>
              <w:left w:val="single" w:color="CCCCCC" w:sz="1"/>
              <w:bottom w:val="single" w:color="CCCCCC" w:sz="1"/>
              <w:right w:val="single" w:color="CCCCCC" w:sz="1"/>
            </w:tcBorders>
            <w:shd w:fill="2E6DA4" w:val="clear"/>
            <w:tcMar>
              <w:top w:type="dxa" w:w="80"/>
              <w:left w:type="dxa" w:w="120"/>
              <w:bottom w:type="dxa" w:w="80"/>
              <w:right w:type="dxa" w:w="120"/>
            </w:tcMar>
          </w:tcPr>
          <w:p>
            <w:r>
              <w:rPr>
                <w:rFonts w:ascii="Arial" w:cs="Arial" w:eastAsia="Arial" w:hAnsi="Arial"/>
                <w:b/>
                <w:bCs/>
                <w:color w:val="FFFFFF"/>
                <w:sz w:val="18"/>
                <w:szCs w:val="18"/>
              </w:rPr>
              <w:t xml:space="preserve">Focus / Teaching Note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3A5C"/>
                <w:sz w:val="18"/>
                <w:szCs w:val="18"/>
              </w:rPr>
              <w:t xml:space="preserve">Oreskes &amp; Conway (2010)</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Merchants of Doubt, Ch. 2–5. Core text for this unit. Trace the same small network of scientists manufacturing doubt across multiple issues.</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3A5C"/>
                <w:sz w:val="18"/>
                <w:szCs w:val="18"/>
              </w:rPr>
              <w:t xml:space="preserve">Proctor (2011)</w:t>
            </w:r>
          </w:p>
        </w:tc>
        <w:tc>
          <w:tcPr>
            <w:tcW w:type="dxa" w:w="58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color w:val="1A1A1A"/>
                <w:sz w:val="18"/>
                <w:szCs w:val="18"/>
              </w:rPr>
              <w:t xml:space="preserve">Golden Holocaust, Ch. 1–2. Documents the tobacco industry's internal science suppression strategy; essential historical grounding.</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3A5C"/>
                <w:sz w:val="18"/>
                <w:szCs w:val="18"/>
              </w:rPr>
              <w:t xml:space="preserve">Oreskes (2004)</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'The Scientific Consensus on Climate Change' — Science. Short, citable, teaches students to distinguish consensus from controversy.</w:t>
            </w:r>
          </w:p>
        </w:tc>
      </w:tr>
    </w:tbl>
    <w:p>
      <w:pPr>
        <w:spacing w:after="0" w:before="80"/>
      </w:pPr>
      <w:r>
        <w:t xml:space="preserve"/>
      </w:r>
    </w:p>
    <w:p>
      <w:pPr>
        <w:spacing w:after="60" w:before="200"/>
      </w:pPr>
      <w:r>
        <w:rPr>
          <w:rFonts w:ascii="Arial" w:cs="Arial" w:eastAsia="Arial" w:hAnsi="Arial"/>
          <w:b/>
          <w:bCs/>
          <w:color w:val="1A3A5C"/>
          <w:sz w:val="22"/>
          <w:szCs w:val="22"/>
        </w:rPr>
        <w:t xml:space="preserve">Case Study Assignment</w:t>
      </w:r>
    </w:p>
    <w:p>
      <w:pPr>
        <w:spacing w:after="60" w:before="60"/>
      </w:pPr>
      <w:r>
        <w:rPr>
          <w:rFonts w:ascii="Arial" w:cs="Arial" w:eastAsia="Arial" w:hAnsi="Arial"/>
          <w:color w:val="1A1A1A"/>
          <w:sz w:val="20"/>
          <w:szCs w:val="20"/>
        </w:rPr>
        <w:t xml:space="preserve">Select one historical antiscience campaign (tobacco, leaded gasoline, acid rain, CFCs, or climate). In 800 words, trace the doubt-manufacturing tactics used and identify which tactics have persisted into contemporary movements.</w:t>
      </w:r>
    </w:p>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20"/>
              <w:left w:type="dxa" w:w="200"/>
              <w:bottom w:type="dxa" w:w="120"/>
              <w:right w:type="dxa" w:w="200"/>
            </w:tcMar>
          </w:tcPr>
          <w:p>
            <w:pPr>
              <w:jc w:val="left"/>
            </w:pPr>
            <w:r>
              <w:rPr>
                <w:rFonts w:ascii="Arial" w:cs="Arial" w:eastAsia="Arial" w:hAnsi="Arial"/>
                <w:b/>
                <w:bCs/>
                <w:color w:val="AACCEE"/>
                <w:sz w:val="20"/>
                <w:szCs w:val="20"/>
              </w:rPr>
              <w:t xml:space="preserve">UNIT 3  |  Weeks 5–6  </w:t>
            </w:r>
            <w:r>
              <w:rPr>
                <w:rFonts w:ascii="Arial" w:cs="Arial" w:eastAsia="Arial" w:hAnsi="Arial"/>
                <w:b/>
                <w:bCs/>
                <w:color w:val="FFFFFF"/>
                <w:sz w:val="24"/>
                <w:szCs w:val="24"/>
              </w:rPr>
              <w:t xml:space="preserve">Cognitive Psychology of Denial</w:t>
            </w:r>
          </w:p>
        </w:tc>
      </w:tr>
    </w:tbl>
    <w:p>
      <w:pPr>
        <w:spacing w:after="0" w:before="120"/>
      </w:pPr>
      <w:r>
        <w:t xml:space="preserve"/>
      </w:r>
    </w:p>
    <w:p>
      <w:pPr>
        <w:spacing w:after="60" w:before="200"/>
      </w:pPr>
      <w:r>
        <w:rPr>
          <w:rFonts w:ascii="Arial" w:cs="Arial" w:eastAsia="Arial" w:hAnsi="Arial"/>
          <w:b/>
          <w:bCs/>
          <w:color w:val="1A3A5C"/>
          <w:sz w:val="22"/>
          <w:szCs w:val="22"/>
        </w:rPr>
        <w:t xml:space="preserve">Overview</w:t>
      </w:r>
    </w:p>
    <w:p>
      <w:pPr>
        <w:spacing w:after="60" w:before="60"/>
      </w:pPr>
      <w:r>
        <w:rPr>
          <w:rFonts w:ascii="Arial" w:cs="Arial" w:eastAsia="Arial" w:hAnsi="Arial"/>
          <w:color w:val="1A1A1A"/>
          <w:sz w:val="20"/>
          <w:szCs w:val="20"/>
        </w:rPr>
        <w:t xml:space="preserve">Why do intelligent, educated people reject scientific consensus? This unit examines the psychological mechanisms — motivated reasoning, identity-protective cognition, the backfire effect, and conspiracy ideation — that make antiscience so resistant to simple correction.</w:t>
      </w:r>
    </w:p>
    <w:p>
      <w:pPr>
        <w:spacing w:after="0" w:before="80"/>
      </w:pPr>
      <w:r>
        <w:t xml:space="preserve"/>
      </w:r>
    </w:p>
    <w:p>
      <w:pPr>
        <w:spacing w:after="60" w:before="200"/>
      </w:pPr>
      <w:r>
        <w:rPr>
          <w:rFonts w:ascii="Arial" w:cs="Arial" w:eastAsia="Arial" w:hAnsi="Arial"/>
          <w:b/>
          <w:bCs/>
          <w:color w:val="1A3A5C"/>
          <w:sz w:val="22"/>
          <w:szCs w:val="22"/>
        </w:rPr>
        <w:t xml:space="preserve">Required Readings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CCCCCC" w:sz="1"/>
              <w:left w:val="single" w:color="CCCCCC" w:sz="1"/>
              <w:bottom w:val="single" w:color="CCCCCC" w:sz="1"/>
              <w:right w:val="single" w:color="CCCCCC" w:sz="1"/>
            </w:tcBorders>
            <w:shd w:fill="2E6DA4" w:val="clear"/>
            <w:tcMar>
              <w:top w:type="dxa" w:w="80"/>
              <w:left w:type="dxa" w:w="120"/>
              <w:bottom w:type="dxa" w:w="80"/>
              <w:right w:type="dxa" w:w="120"/>
            </w:tcMar>
          </w:tcPr>
          <w:p>
            <w:r>
              <w:rPr>
                <w:rFonts w:ascii="Arial" w:cs="Arial" w:eastAsia="Arial" w:hAnsi="Arial"/>
                <w:b/>
                <w:bCs/>
                <w:color w:val="FFFFFF"/>
                <w:sz w:val="18"/>
                <w:szCs w:val="18"/>
              </w:rPr>
              <w:t xml:space="preserve">Source</w:t>
            </w:r>
          </w:p>
        </w:tc>
        <w:tc>
          <w:tcPr>
            <w:tcW w:type="dxa" w:w="5860"/>
            <w:tcBorders>
              <w:top w:val="single" w:color="CCCCCC" w:sz="1"/>
              <w:left w:val="single" w:color="CCCCCC" w:sz="1"/>
              <w:bottom w:val="single" w:color="CCCCCC" w:sz="1"/>
              <w:right w:val="single" w:color="CCCCCC" w:sz="1"/>
            </w:tcBorders>
            <w:shd w:fill="2E6DA4" w:val="clear"/>
            <w:tcMar>
              <w:top w:type="dxa" w:w="80"/>
              <w:left w:type="dxa" w:w="120"/>
              <w:bottom w:type="dxa" w:w="80"/>
              <w:right w:type="dxa" w:w="120"/>
            </w:tcMar>
          </w:tcPr>
          <w:p>
            <w:r>
              <w:rPr>
                <w:rFonts w:ascii="Arial" w:cs="Arial" w:eastAsia="Arial" w:hAnsi="Arial"/>
                <w:b/>
                <w:bCs/>
                <w:color w:val="FFFFFF"/>
                <w:sz w:val="18"/>
                <w:szCs w:val="18"/>
              </w:rPr>
              <w:t xml:space="preserve">Focus / Teaching Note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3A5C"/>
                <w:sz w:val="18"/>
                <w:szCs w:val="18"/>
              </w:rPr>
              <w:t xml:space="preserve">O'Connor &amp; Weatherall (2019)</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The Misinformation Age, Ch. 1–4. Rigorous philosophical treatment of how false beliefs propagate through social networks. Assigns well.</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3A5C"/>
                <w:sz w:val="18"/>
                <w:szCs w:val="18"/>
              </w:rPr>
              <w:t xml:space="preserve">Nyhan &amp; Reifler (2010)</w:t>
            </w:r>
          </w:p>
        </w:tc>
        <w:tc>
          <w:tcPr>
            <w:tcW w:type="dxa" w:w="58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color w:val="1A1A1A"/>
                <w:sz w:val="18"/>
                <w:szCs w:val="18"/>
              </w:rPr>
              <w:t xml:space="preserve">'When Corrections Fail' — Political Behavior. The original backfire effect paper; discuss alongside more recent replication debates.</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3A5C"/>
                <w:sz w:val="18"/>
                <w:szCs w:val="18"/>
              </w:rPr>
              <w:t xml:space="preserve">Hofer &amp; Sinatra (2021)</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Science Denial, Ch. 3–5. Best pedagogically oriented text on the psychology of denial; includes classroom-ready frameworks.</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3A5C"/>
                <w:sz w:val="18"/>
                <w:szCs w:val="18"/>
              </w:rPr>
              <w:t xml:space="preserve">Kahneman (2011)</w:t>
            </w:r>
          </w:p>
        </w:tc>
        <w:tc>
          <w:tcPr>
            <w:tcW w:type="dxa" w:w="58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color w:val="1A1A1A"/>
                <w:sz w:val="18"/>
                <w:szCs w:val="18"/>
              </w:rPr>
              <w:t xml:space="preserve">Thinking, Fast and Slow, Ch. 11–13 (selected). System 1/System 2 framework for understanding intuitive vs. analytical thinking.</w:t>
            </w:r>
          </w:p>
        </w:tc>
      </w:tr>
    </w:tbl>
    <w:p>
      <w:pPr>
        <w:spacing w:after="0" w:before="80"/>
      </w:pPr>
      <w:r>
        <w:t xml:space="preserve"/>
      </w:r>
    </w:p>
    <w:p>
      <w:pPr>
        <w:spacing w:after="60" w:before="200"/>
      </w:pPr>
      <w:r>
        <w:rPr>
          <w:rFonts w:ascii="Arial" w:cs="Arial" w:eastAsia="Arial" w:hAnsi="Arial"/>
          <w:b/>
          <w:bCs/>
          <w:color w:val="1A3A5C"/>
          <w:sz w:val="22"/>
          <w:szCs w:val="22"/>
        </w:rPr>
        <w:t xml:space="preserve">Discussion Prompts</w:t>
      </w:r>
    </w:p>
    <w:p>
      <w:pPr>
        <w:pStyle w:val="ListParagraph"/>
        <w:numPr>
          <w:ilvl w:val="0"/>
          <w:numId w:val="2"/>
        </w:numPr>
        <w:spacing w:after="40" w:before="40"/>
      </w:pPr>
      <w:r>
        <w:rPr>
          <w:rFonts w:ascii="Arial" w:cs="Arial" w:eastAsia="Arial" w:hAnsi="Arial"/>
          <w:color w:val="1A1A1A"/>
          <w:sz w:val="20"/>
          <w:szCs w:val="20"/>
        </w:rPr>
        <w:t xml:space="preserve">If corrections can backfire, what strategies does that leave educators with? Is there a role for direct factual correction at all?</w:t>
      </w:r>
    </w:p>
    <w:p>
      <w:pPr>
        <w:pStyle w:val="ListParagraph"/>
        <w:numPr>
          <w:ilvl w:val="0"/>
          <w:numId w:val="2"/>
        </w:numPr>
        <w:spacing w:after="40" w:before="40"/>
      </w:pPr>
      <w:r>
        <w:rPr>
          <w:rFonts w:ascii="Arial" w:cs="Arial" w:eastAsia="Arial" w:hAnsi="Arial"/>
          <w:color w:val="1A1A1A"/>
          <w:sz w:val="20"/>
          <w:szCs w:val="20"/>
        </w:rPr>
        <w:t xml:space="preserve">O'Connor and Weatherall argue that rational individuals in certain social structures will converge on false beliefs. What does this imply about individually focused interventions?</w:t>
      </w:r>
    </w:p>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20"/>
              <w:left w:type="dxa" w:w="200"/>
              <w:bottom w:type="dxa" w:w="120"/>
              <w:right w:type="dxa" w:w="200"/>
            </w:tcMar>
          </w:tcPr>
          <w:p>
            <w:pPr>
              <w:jc w:val="left"/>
            </w:pPr>
            <w:r>
              <w:rPr>
                <w:rFonts w:ascii="Arial" w:cs="Arial" w:eastAsia="Arial" w:hAnsi="Arial"/>
                <w:b/>
                <w:bCs/>
                <w:color w:val="AACCEE"/>
                <w:sz w:val="20"/>
                <w:szCs w:val="20"/>
              </w:rPr>
              <w:t xml:space="preserve">UNIT 4  |  Weeks 7–8  </w:t>
            </w:r>
            <w:r>
              <w:rPr>
                <w:rFonts w:ascii="Arial" w:cs="Arial" w:eastAsia="Arial" w:hAnsi="Arial"/>
                <w:b/>
                <w:bCs/>
                <w:color w:val="FFFFFF"/>
                <w:sz w:val="24"/>
                <w:szCs w:val="24"/>
              </w:rPr>
              <w:t xml:space="preserve">Media, Misinformation, and Digital Ecosystems</w:t>
            </w:r>
          </w:p>
        </w:tc>
      </w:tr>
    </w:tbl>
    <w:p>
      <w:pPr>
        <w:spacing w:after="0" w:before="120"/>
      </w:pPr>
      <w:r>
        <w:t xml:space="preserve"/>
      </w:r>
    </w:p>
    <w:p>
      <w:pPr>
        <w:spacing w:after="60" w:before="200"/>
      </w:pPr>
      <w:r>
        <w:rPr>
          <w:rFonts w:ascii="Arial" w:cs="Arial" w:eastAsia="Arial" w:hAnsi="Arial"/>
          <w:b/>
          <w:bCs/>
          <w:color w:val="1A3A5C"/>
          <w:sz w:val="22"/>
          <w:szCs w:val="22"/>
        </w:rPr>
        <w:t xml:space="preserve">Overview</w:t>
      </w:r>
    </w:p>
    <w:p>
      <w:pPr>
        <w:spacing w:after="60" w:before="60"/>
      </w:pPr>
      <w:r>
        <w:rPr>
          <w:rFonts w:ascii="Arial" w:cs="Arial" w:eastAsia="Arial" w:hAnsi="Arial"/>
          <w:color w:val="1A1A1A"/>
          <w:sz w:val="20"/>
          <w:szCs w:val="20"/>
        </w:rPr>
        <w:t xml:space="preserve">From false balance journalism to algorithmic amplification and influencer-driven health misinformation, this unit examines the media ecosystem that antiscience movements exploit — and the emerging research on how to disrupt it.</w:t>
      </w:r>
    </w:p>
    <w:p>
      <w:pPr>
        <w:spacing w:after="0" w:before="80"/>
      </w:pPr>
      <w:r>
        <w:t xml:space="preserve"/>
      </w:r>
    </w:p>
    <w:p>
      <w:pPr>
        <w:spacing w:after="60" w:before="200"/>
      </w:pPr>
      <w:r>
        <w:rPr>
          <w:rFonts w:ascii="Arial" w:cs="Arial" w:eastAsia="Arial" w:hAnsi="Arial"/>
          <w:b/>
          <w:bCs/>
          <w:color w:val="1A3A5C"/>
          <w:sz w:val="22"/>
          <w:szCs w:val="22"/>
        </w:rPr>
        <w:t xml:space="preserve">Required Readings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CCCCCC" w:sz="1"/>
              <w:left w:val="single" w:color="CCCCCC" w:sz="1"/>
              <w:bottom w:val="single" w:color="CCCCCC" w:sz="1"/>
              <w:right w:val="single" w:color="CCCCCC" w:sz="1"/>
            </w:tcBorders>
            <w:shd w:fill="2E6DA4" w:val="clear"/>
            <w:tcMar>
              <w:top w:type="dxa" w:w="80"/>
              <w:left w:type="dxa" w:w="120"/>
              <w:bottom w:type="dxa" w:w="80"/>
              <w:right w:type="dxa" w:w="120"/>
            </w:tcMar>
          </w:tcPr>
          <w:p>
            <w:r>
              <w:rPr>
                <w:rFonts w:ascii="Arial" w:cs="Arial" w:eastAsia="Arial" w:hAnsi="Arial"/>
                <w:b/>
                <w:bCs/>
                <w:color w:val="FFFFFF"/>
                <w:sz w:val="18"/>
                <w:szCs w:val="18"/>
              </w:rPr>
              <w:t xml:space="preserve">Source</w:t>
            </w:r>
          </w:p>
        </w:tc>
        <w:tc>
          <w:tcPr>
            <w:tcW w:type="dxa" w:w="5860"/>
            <w:tcBorders>
              <w:top w:val="single" w:color="CCCCCC" w:sz="1"/>
              <w:left w:val="single" w:color="CCCCCC" w:sz="1"/>
              <w:bottom w:val="single" w:color="CCCCCC" w:sz="1"/>
              <w:right w:val="single" w:color="CCCCCC" w:sz="1"/>
            </w:tcBorders>
            <w:shd w:fill="2E6DA4" w:val="clear"/>
            <w:tcMar>
              <w:top w:type="dxa" w:w="80"/>
              <w:left w:type="dxa" w:w="120"/>
              <w:bottom w:type="dxa" w:w="80"/>
              <w:right w:type="dxa" w:w="120"/>
            </w:tcMar>
          </w:tcPr>
          <w:p>
            <w:r>
              <w:rPr>
                <w:rFonts w:ascii="Arial" w:cs="Arial" w:eastAsia="Arial" w:hAnsi="Arial"/>
                <w:b/>
                <w:bCs/>
                <w:color w:val="FFFFFF"/>
                <w:sz w:val="18"/>
                <w:szCs w:val="18"/>
              </w:rPr>
              <w:t xml:space="preserve">Focus / Teaching Note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3A5C"/>
                <w:sz w:val="18"/>
                <w:szCs w:val="18"/>
              </w:rPr>
              <w:t xml:space="preserve">Benkler et al. (2018)</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Network Propaganda, Ch. 1–3. Rigorous empirical study of asymmetric misinformation flows across political media ecosystems.</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3A5C"/>
                <w:sz w:val="18"/>
                <w:szCs w:val="18"/>
              </w:rPr>
              <w:t xml:space="preserve">Wardle &amp; Derakhshan (2017)</w:t>
            </w:r>
          </w:p>
        </w:tc>
        <w:tc>
          <w:tcPr>
            <w:tcW w:type="dxa" w:w="58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color w:val="1A1A1A"/>
                <w:sz w:val="18"/>
                <w:szCs w:val="18"/>
              </w:rPr>
              <w:t xml:space="preserve">'Information Disorder' — Council of Europe Report. Introduces the mis/dis/malinformation framework; widely adopted in media literacy curricula.</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3A5C"/>
                <w:sz w:val="18"/>
                <w:szCs w:val="18"/>
              </w:rPr>
              <w:t xml:space="preserve">Vosoughi et al. (2018)</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'The Spread of True and False News Online' — Science. Landmark MIT study showing falsehoods spread faster and further than truth on Twitter.</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3A5C"/>
                <w:sz w:val="18"/>
                <w:szCs w:val="18"/>
              </w:rPr>
              <w:t xml:space="preserve">Berman (2020)</w:t>
            </w:r>
          </w:p>
        </w:tc>
        <w:tc>
          <w:tcPr>
            <w:tcW w:type="dxa" w:w="58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color w:val="1A1A1A"/>
                <w:sz w:val="18"/>
                <w:szCs w:val="18"/>
              </w:rPr>
              <w:t xml:space="preserve">Anti-Vaxxers, Ch. 4–6. Detailed case study of how antivax content moved from fringe blogs to mainstream platforms.</w:t>
            </w:r>
          </w:p>
        </w:tc>
      </w:tr>
    </w:tbl>
    <w:p>
      <w:pPr>
        <w:spacing w:after="0" w:before="80"/>
      </w:pPr>
      <w:r>
        <w:t xml:space="preserve"/>
      </w:r>
    </w:p>
    <w:p>
      <w:pPr>
        <w:spacing w:after="60" w:before="200"/>
      </w:pPr>
      <w:r>
        <w:rPr>
          <w:rFonts w:ascii="Arial" w:cs="Arial" w:eastAsia="Arial" w:hAnsi="Arial"/>
          <w:b/>
          <w:bCs/>
          <w:color w:val="1A3A5C"/>
          <w:sz w:val="22"/>
          <w:szCs w:val="22"/>
        </w:rPr>
        <w:t xml:space="preserve">Practical Exercise</w:t>
      </w:r>
    </w:p>
    <w:p>
      <w:pPr>
        <w:spacing w:after="60" w:before="60"/>
      </w:pPr>
      <w:r>
        <w:rPr>
          <w:rFonts w:ascii="Arial" w:cs="Arial" w:eastAsia="Arial" w:hAnsi="Arial"/>
          <w:color w:val="1A1A1A"/>
          <w:sz w:val="20"/>
          <w:szCs w:val="20"/>
        </w:rPr>
        <w:t xml:space="preserve">Using a fact-checking database (Snopes, Science Feedback, or PolitiFact), trace the origin and spread of one piece of antiscience misinformation. Map its journey across platforms and identify the amplification mechanisms at each stage.</w:t>
      </w:r>
    </w:p>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20"/>
              <w:left w:type="dxa" w:w="200"/>
              <w:bottom w:type="dxa" w:w="120"/>
              <w:right w:type="dxa" w:w="200"/>
            </w:tcMar>
          </w:tcPr>
          <w:p>
            <w:pPr>
              <w:jc w:val="left"/>
            </w:pPr>
            <w:r>
              <w:rPr>
                <w:rFonts w:ascii="Arial" w:cs="Arial" w:eastAsia="Arial" w:hAnsi="Arial"/>
                <w:b/>
                <w:bCs/>
                <w:color w:val="AACCEE"/>
                <w:sz w:val="20"/>
                <w:szCs w:val="20"/>
              </w:rPr>
              <w:t xml:space="preserve">UNIT 5  |  Weeks 9–10  </w:t>
            </w:r>
            <w:r>
              <w:rPr>
                <w:rFonts w:ascii="Arial" w:cs="Arial" w:eastAsia="Arial" w:hAnsi="Arial"/>
                <w:b/>
                <w:bCs/>
                <w:color w:val="FFFFFF"/>
                <w:sz w:val="24"/>
                <w:szCs w:val="24"/>
              </w:rPr>
              <w:t xml:space="preserve">Countering Antiscience: Inoculation and Prebunking</w:t>
            </w:r>
          </w:p>
        </w:tc>
      </w:tr>
    </w:tbl>
    <w:p>
      <w:pPr>
        <w:spacing w:after="0" w:before="120"/>
      </w:pPr>
      <w:r>
        <w:t xml:space="preserve"/>
      </w:r>
    </w:p>
    <w:p>
      <w:pPr>
        <w:spacing w:after="60" w:before="200"/>
      </w:pPr>
      <w:r>
        <w:rPr>
          <w:rFonts w:ascii="Arial" w:cs="Arial" w:eastAsia="Arial" w:hAnsi="Arial"/>
          <w:b/>
          <w:bCs/>
          <w:color w:val="1A3A5C"/>
          <w:sz w:val="22"/>
          <w:szCs w:val="22"/>
        </w:rPr>
        <w:t xml:space="preserve">Overview</w:t>
      </w:r>
    </w:p>
    <w:p>
      <w:pPr>
        <w:spacing w:after="60" w:before="60"/>
      </w:pPr>
      <w:r>
        <w:rPr>
          <w:rFonts w:ascii="Arial" w:cs="Arial" w:eastAsia="Arial" w:hAnsi="Arial"/>
          <w:color w:val="1A1A1A"/>
          <w:sz w:val="20"/>
          <w:szCs w:val="20"/>
        </w:rPr>
        <w:t xml:space="preserve">The most exciting recent development in antiscience research is the evidence base for inoculation theory — the idea that exposing people to weakened doses of misinformation techniques, before they encounter the real thing, confers psychological resistance. This unit covers both the theory and its practical applications.</w:t>
      </w:r>
    </w:p>
    <w:p>
      <w:pPr>
        <w:spacing w:after="0" w:before="80"/>
      </w:pPr>
      <w:r>
        <w:t xml:space="preserve"/>
      </w:r>
    </w:p>
    <w:p>
      <w:pPr>
        <w:spacing w:after="60" w:before="200"/>
      </w:pPr>
      <w:r>
        <w:rPr>
          <w:rFonts w:ascii="Arial" w:cs="Arial" w:eastAsia="Arial" w:hAnsi="Arial"/>
          <w:b/>
          <w:bCs/>
          <w:color w:val="1A3A5C"/>
          <w:sz w:val="22"/>
          <w:szCs w:val="22"/>
        </w:rPr>
        <w:t xml:space="preserve">Required Readings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CCCCCC" w:sz="1"/>
              <w:left w:val="single" w:color="CCCCCC" w:sz="1"/>
              <w:bottom w:val="single" w:color="CCCCCC" w:sz="1"/>
              <w:right w:val="single" w:color="CCCCCC" w:sz="1"/>
            </w:tcBorders>
            <w:shd w:fill="2E6DA4" w:val="clear"/>
            <w:tcMar>
              <w:top w:type="dxa" w:w="80"/>
              <w:left w:type="dxa" w:w="120"/>
              <w:bottom w:type="dxa" w:w="80"/>
              <w:right w:type="dxa" w:w="120"/>
            </w:tcMar>
          </w:tcPr>
          <w:p>
            <w:r>
              <w:rPr>
                <w:rFonts w:ascii="Arial" w:cs="Arial" w:eastAsia="Arial" w:hAnsi="Arial"/>
                <w:b/>
                <w:bCs/>
                <w:color w:val="FFFFFF"/>
                <w:sz w:val="18"/>
                <w:szCs w:val="18"/>
              </w:rPr>
              <w:t xml:space="preserve">Source</w:t>
            </w:r>
          </w:p>
        </w:tc>
        <w:tc>
          <w:tcPr>
            <w:tcW w:type="dxa" w:w="5860"/>
            <w:tcBorders>
              <w:top w:val="single" w:color="CCCCCC" w:sz="1"/>
              <w:left w:val="single" w:color="CCCCCC" w:sz="1"/>
              <w:bottom w:val="single" w:color="CCCCCC" w:sz="1"/>
              <w:right w:val="single" w:color="CCCCCC" w:sz="1"/>
            </w:tcBorders>
            <w:shd w:fill="2E6DA4" w:val="clear"/>
            <w:tcMar>
              <w:top w:type="dxa" w:w="80"/>
              <w:left w:type="dxa" w:w="120"/>
              <w:bottom w:type="dxa" w:w="80"/>
              <w:right w:type="dxa" w:w="120"/>
            </w:tcMar>
          </w:tcPr>
          <w:p>
            <w:r>
              <w:rPr>
                <w:rFonts w:ascii="Arial" w:cs="Arial" w:eastAsia="Arial" w:hAnsi="Arial"/>
                <w:b/>
                <w:bCs/>
                <w:color w:val="FFFFFF"/>
                <w:sz w:val="18"/>
                <w:szCs w:val="18"/>
              </w:rPr>
              <w:t xml:space="preserve">Focus / Teaching Note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3A5C"/>
                <w:sz w:val="18"/>
                <w:szCs w:val="18"/>
              </w:rPr>
              <w:t xml:space="preserve">van der Linden et al. (2017)</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'Inoculation theory and misinformation' — original inoculation paper. Essential; pairs well with The Debunking Handbook below.</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3A5C"/>
                <w:sz w:val="18"/>
                <w:szCs w:val="18"/>
              </w:rPr>
              <w:t xml:space="preserve">Lewandowsky et al. (2020)</w:t>
            </w:r>
          </w:p>
        </w:tc>
        <w:tc>
          <w:tcPr>
            <w:tcW w:type="dxa" w:w="58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color w:val="1A1A1A"/>
                <w:sz w:val="18"/>
                <w:szCs w:val="18"/>
              </w:rPr>
              <w:t xml:space="preserve">The Debunking Handbook (free download). Synthesises decades of research into practical classroom guidance. Assign in full.</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3A5C"/>
                <w:sz w:val="18"/>
                <w:szCs w:val="18"/>
              </w:rPr>
              <w:t xml:space="preserve">Pennycook &amp; Rand (2019)</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'Lazy, not biased' — Cognition. Argues that analytic thinking, not identity, is the primary driver of misinformation acceptance; has major implications for pedagogy.</w:t>
            </w:r>
          </w:p>
        </w:tc>
      </w:tr>
    </w:tbl>
    <w:p>
      <w:pPr>
        <w:spacing w:after="0" w:before="80"/>
      </w:pPr>
      <w:r>
        <w:t xml:space="preserve"/>
      </w:r>
    </w:p>
    <w:p>
      <w:pPr>
        <w:spacing w:after="60" w:before="200"/>
      </w:pPr>
      <w:r>
        <w:rPr>
          <w:rFonts w:ascii="Arial" w:cs="Arial" w:eastAsia="Arial" w:hAnsi="Arial"/>
          <w:b/>
          <w:bCs/>
          <w:color w:val="1A3A5C"/>
          <w:sz w:val="22"/>
          <w:szCs w:val="22"/>
        </w:rPr>
        <w:t xml:space="preserve">Discussion Prompts</w:t>
      </w:r>
    </w:p>
    <w:p>
      <w:pPr>
        <w:pStyle w:val="ListParagraph"/>
        <w:numPr>
          <w:ilvl w:val="0"/>
          <w:numId w:val="2"/>
        </w:numPr>
        <w:spacing w:after="40" w:before="40"/>
      </w:pPr>
      <w:r>
        <w:rPr>
          <w:rFonts w:ascii="Arial" w:cs="Arial" w:eastAsia="Arial" w:hAnsi="Arial"/>
          <w:color w:val="1A1A1A"/>
          <w:sz w:val="20"/>
          <w:szCs w:val="20"/>
        </w:rPr>
        <w:t xml:space="preserve">The Debunking Handbook recommends leading with the fact, not the myth. Design a one-paragraph intervention for one current antiscience claim using this principle.</w:t>
      </w:r>
    </w:p>
    <w:p>
      <w:pPr>
        <w:pStyle w:val="ListParagraph"/>
        <w:numPr>
          <w:ilvl w:val="0"/>
          <w:numId w:val="2"/>
        </w:numPr>
        <w:spacing w:after="40" w:before="40"/>
      </w:pPr>
      <w:r>
        <w:rPr>
          <w:rFonts w:ascii="Arial" w:cs="Arial" w:eastAsia="Arial" w:hAnsi="Arial"/>
          <w:color w:val="1A1A1A"/>
          <w:sz w:val="20"/>
          <w:szCs w:val="20"/>
        </w:rPr>
        <w:t xml:space="preserve">Inoculation theory has been tested primarily in short-term lab settings. What are the challenges of scaling it to real-world education?</w:t>
      </w:r>
    </w:p>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120"/>
              <w:left w:type="dxa" w:w="200"/>
              <w:bottom w:type="dxa" w:w="120"/>
              <w:right w:type="dxa" w:w="200"/>
            </w:tcMar>
          </w:tcPr>
          <w:p>
            <w:pPr>
              <w:jc w:val="left"/>
            </w:pPr>
            <w:r>
              <w:rPr>
                <w:rFonts w:ascii="Arial" w:cs="Arial" w:eastAsia="Arial" w:hAnsi="Arial"/>
                <w:b/>
                <w:bCs/>
                <w:color w:val="AACCEE"/>
                <w:sz w:val="20"/>
                <w:szCs w:val="20"/>
              </w:rPr>
              <w:t xml:space="preserve">UNIT 6  |  Weeks 11–12  </w:t>
            </w:r>
            <w:r>
              <w:rPr>
                <w:rFonts w:ascii="Arial" w:cs="Arial" w:eastAsia="Arial" w:hAnsi="Arial"/>
                <w:b/>
                <w:bCs/>
                <w:color w:val="FFFFFF"/>
                <w:sz w:val="24"/>
                <w:szCs w:val="24"/>
              </w:rPr>
              <w:t xml:space="preserve">Policy, Institutions, and Rebuilding Trust</w:t>
            </w:r>
          </w:p>
        </w:tc>
      </w:tr>
    </w:tbl>
    <w:p>
      <w:pPr>
        <w:spacing w:after="0" w:before="120"/>
      </w:pPr>
      <w:r>
        <w:t xml:space="preserve"/>
      </w:r>
    </w:p>
    <w:p>
      <w:pPr>
        <w:spacing w:after="60" w:before="200"/>
      </w:pPr>
      <w:r>
        <w:rPr>
          <w:rFonts w:ascii="Arial" w:cs="Arial" w:eastAsia="Arial" w:hAnsi="Arial"/>
          <w:b/>
          <w:bCs/>
          <w:color w:val="1A3A5C"/>
          <w:sz w:val="22"/>
          <w:szCs w:val="22"/>
        </w:rPr>
        <w:t xml:space="preserve">Overview</w:t>
      </w:r>
    </w:p>
    <w:p>
      <w:pPr>
        <w:spacing w:after="60" w:before="60"/>
      </w:pPr>
      <w:r>
        <w:rPr>
          <w:rFonts w:ascii="Arial" w:cs="Arial" w:eastAsia="Arial" w:hAnsi="Arial"/>
          <w:color w:val="1A1A1A"/>
          <w:sz w:val="20"/>
          <w:szCs w:val="20"/>
        </w:rPr>
        <w:t xml:space="preserve">The final unit moves from individual psychology to systemic solutions. What policy changes, institutional reforms, and educational interventions have the strongest evidence base for restoring public trust in science? Students produce a final policy brief drawing on the full course.</w:t>
      </w:r>
    </w:p>
    <w:p>
      <w:pPr>
        <w:spacing w:after="0" w:before="80"/>
      </w:pPr>
      <w:r>
        <w:t xml:space="preserve"/>
      </w:r>
    </w:p>
    <w:p>
      <w:pPr>
        <w:spacing w:after="60" w:before="200"/>
      </w:pPr>
      <w:r>
        <w:rPr>
          <w:rFonts w:ascii="Arial" w:cs="Arial" w:eastAsia="Arial" w:hAnsi="Arial"/>
          <w:b/>
          <w:bCs/>
          <w:color w:val="1A3A5C"/>
          <w:sz w:val="22"/>
          <w:szCs w:val="22"/>
        </w:rPr>
        <w:t xml:space="preserve">Required Readings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CCCCCC" w:sz="1"/>
              <w:left w:val="single" w:color="CCCCCC" w:sz="1"/>
              <w:bottom w:val="single" w:color="CCCCCC" w:sz="1"/>
              <w:right w:val="single" w:color="CCCCCC" w:sz="1"/>
            </w:tcBorders>
            <w:shd w:fill="2E6DA4" w:val="clear"/>
            <w:tcMar>
              <w:top w:type="dxa" w:w="80"/>
              <w:left w:type="dxa" w:w="120"/>
              <w:bottom w:type="dxa" w:w="80"/>
              <w:right w:type="dxa" w:w="120"/>
            </w:tcMar>
          </w:tcPr>
          <w:p>
            <w:r>
              <w:rPr>
                <w:rFonts w:ascii="Arial" w:cs="Arial" w:eastAsia="Arial" w:hAnsi="Arial"/>
                <w:b/>
                <w:bCs/>
                <w:color w:val="FFFFFF"/>
                <w:sz w:val="18"/>
                <w:szCs w:val="18"/>
              </w:rPr>
              <w:t xml:space="preserve">Source</w:t>
            </w:r>
          </w:p>
        </w:tc>
        <w:tc>
          <w:tcPr>
            <w:tcW w:type="dxa" w:w="5860"/>
            <w:tcBorders>
              <w:top w:val="single" w:color="CCCCCC" w:sz="1"/>
              <w:left w:val="single" w:color="CCCCCC" w:sz="1"/>
              <w:bottom w:val="single" w:color="CCCCCC" w:sz="1"/>
              <w:right w:val="single" w:color="CCCCCC" w:sz="1"/>
            </w:tcBorders>
            <w:shd w:fill="2E6DA4" w:val="clear"/>
            <w:tcMar>
              <w:top w:type="dxa" w:w="80"/>
              <w:left w:type="dxa" w:w="120"/>
              <w:bottom w:type="dxa" w:w="80"/>
              <w:right w:type="dxa" w:w="120"/>
            </w:tcMar>
          </w:tcPr>
          <w:p>
            <w:r>
              <w:rPr>
                <w:rFonts w:ascii="Arial" w:cs="Arial" w:eastAsia="Arial" w:hAnsi="Arial"/>
                <w:b/>
                <w:bCs/>
                <w:color w:val="FFFFFF"/>
                <w:sz w:val="18"/>
                <w:szCs w:val="18"/>
              </w:rPr>
              <w:t xml:space="preserve">Focus / Teaching Note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3A5C"/>
                <w:sz w:val="18"/>
                <w:szCs w:val="18"/>
              </w:rPr>
              <w:t xml:space="preserve">Hofer &amp; Sinatra (2021)</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Science Denial, Ch. 8–10. Policy and educational recommendations; directly applicable to final assignment.</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3A5C"/>
                <w:sz w:val="18"/>
                <w:szCs w:val="18"/>
              </w:rPr>
              <w:t xml:space="preserve">National Academies (2017)</w:t>
            </w:r>
          </w:p>
        </w:tc>
        <w:tc>
          <w:tcPr>
            <w:tcW w:type="dxa" w:w="58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color w:val="1A1A1A"/>
                <w:sz w:val="18"/>
                <w:szCs w:val="18"/>
              </w:rPr>
              <w:t xml:space="preserve">Communicating Science Effectively: A Research Agenda. Free PDF from nap.edu. Authoritative summary of evidence-based communication strategies.</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3A5C"/>
                <w:sz w:val="18"/>
                <w:szCs w:val="18"/>
              </w:rPr>
              <w:t xml:space="preserve">Kraft et al. (2015)</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'Why People 'Don't Trust the Evidence'' — American Journal of Political Science. Examines how partisan identity mediates trust in scientific institutions.</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3A5C"/>
                <w:sz w:val="18"/>
                <w:szCs w:val="18"/>
              </w:rPr>
              <w:t xml:space="preserve">Oreskes (2019)</w:t>
            </w:r>
          </w:p>
        </w:tc>
        <w:tc>
          <w:tcPr>
            <w:tcW w:type="dxa" w:w="58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color w:val="1A1A1A"/>
                <w:sz w:val="18"/>
                <w:szCs w:val="18"/>
              </w:rPr>
              <w:t xml:space="preserve">Why Trust Science? Ch. 1 + Conclusion. Philosophical framework for what makes science trustworthy; good capstone reading.</w:t>
            </w:r>
          </w:p>
        </w:tc>
      </w:tr>
    </w:tbl>
    <w:p>
      <w:pPr>
        <w:spacing w:after="0" w:before="80"/>
      </w:pPr>
      <w:r>
        <w:t xml:space="preserve"/>
      </w:r>
    </w:p>
    <w:p>
      <w:pPr>
        <w:spacing w:after="60" w:before="200"/>
      </w:pPr>
      <w:r>
        <w:rPr>
          <w:rFonts w:ascii="Arial" w:cs="Arial" w:eastAsia="Arial" w:hAnsi="Arial"/>
          <w:b/>
          <w:bCs/>
          <w:color w:val="1A3A5C"/>
          <w:sz w:val="22"/>
          <w:szCs w:val="22"/>
        </w:rPr>
        <w:t xml:space="preserve">Final Assignment: Policy Brief</w:t>
      </w:r>
    </w:p>
    <w:p>
      <w:pPr>
        <w:spacing w:after="60" w:before="60"/>
      </w:pPr>
      <w:r>
        <w:rPr>
          <w:rFonts w:ascii="Arial" w:cs="Arial" w:eastAsia="Arial" w:hAnsi="Arial"/>
          <w:color w:val="1A1A1A"/>
          <w:sz w:val="20"/>
          <w:szCs w:val="20"/>
        </w:rPr>
        <w:t xml:space="preserve">Produce a 1,500-word policy brief addressed to a specific decision-maker (school board, federal agency, public health department, or university administration). Your brief must:</w:t>
      </w:r>
    </w:p>
    <w:p>
      <w:pPr>
        <w:pStyle w:val="ListParagraph"/>
        <w:numPr>
          <w:ilvl w:val="0"/>
          <w:numId w:val="2"/>
        </w:numPr>
        <w:spacing w:after="40" w:before="40"/>
      </w:pPr>
      <w:r>
        <w:rPr>
          <w:rFonts w:ascii="Arial" w:cs="Arial" w:eastAsia="Arial" w:hAnsi="Arial"/>
          <w:color w:val="1A1A1A"/>
          <w:sz w:val="20"/>
          <w:szCs w:val="20"/>
        </w:rPr>
        <w:t xml:space="preserve">Identify one specific antiscience problem in your professional or community context</w:t>
      </w:r>
    </w:p>
    <w:p>
      <w:pPr>
        <w:pStyle w:val="ListParagraph"/>
        <w:numPr>
          <w:ilvl w:val="0"/>
          <w:numId w:val="2"/>
        </w:numPr>
        <w:spacing w:after="40" w:before="40"/>
      </w:pPr>
      <w:r>
        <w:rPr>
          <w:rFonts w:ascii="Arial" w:cs="Arial" w:eastAsia="Arial" w:hAnsi="Arial"/>
          <w:color w:val="1A1A1A"/>
          <w:sz w:val="20"/>
          <w:szCs w:val="20"/>
        </w:rPr>
        <w:t xml:space="preserve">Draw on at least six course readings to analyse the problem's mechanisms</w:t>
      </w:r>
    </w:p>
    <w:p>
      <w:pPr>
        <w:pStyle w:val="ListParagraph"/>
        <w:numPr>
          <w:ilvl w:val="0"/>
          <w:numId w:val="2"/>
        </w:numPr>
        <w:spacing w:after="40" w:before="40"/>
      </w:pPr>
      <w:r>
        <w:rPr>
          <w:rFonts w:ascii="Arial" w:cs="Arial" w:eastAsia="Arial" w:hAnsi="Arial"/>
          <w:color w:val="1A1A1A"/>
          <w:sz w:val="20"/>
          <w:szCs w:val="20"/>
        </w:rPr>
        <w:t xml:space="preserve">Propose three evidence-based, actionable policy or educational interventions</w:t>
      </w:r>
    </w:p>
    <w:p>
      <w:pPr>
        <w:pStyle w:val="ListParagraph"/>
        <w:numPr>
          <w:ilvl w:val="0"/>
          <w:numId w:val="2"/>
        </w:numPr>
        <w:spacing w:after="40" w:before="40"/>
      </w:pPr>
      <w:r>
        <w:rPr>
          <w:rFonts w:ascii="Arial" w:cs="Arial" w:eastAsia="Arial" w:hAnsi="Arial"/>
          <w:color w:val="1A1A1A"/>
          <w:sz w:val="20"/>
          <w:szCs w:val="20"/>
        </w:rPr>
        <w:t xml:space="preserve">Acknowledge counterarguments and limitations</w:t>
      </w:r>
    </w:p>
    <w:p>
      <w:pPr>
        <w:spacing w:after="0" w:before="200"/>
      </w:pPr>
      <w:r>
        <w:t xml:space="preserve"/>
      </w:r>
    </w:p>
    <w:p>
      <w:pPr>
        <w:pStyle w:val="Heading1"/>
        <w:pBdr>
          <w:bottom w:val="single" w:color="2E6DA4" w:sz="6" w:space="4"/>
        </w:pBdr>
        <w:spacing w:after="120" w:before="360"/>
      </w:pPr>
      <w:r>
        <w:rPr>
          <w:rFonts w:ascii="Arial" w:cs="Arial" w:eastAsia="Arial" w:hAnsi="Arial"/>
          <w:b/>
          <w:bCs/>
          <w:color w:val="1A3A5C"/>
          <w:sz w:val="28"/>
          <w:szCs w:val="28"/>
        </w:rPr>
        <w:t xml:space="preserve">Supplementary Resources</w:t>
      </w:r>
    </w:p>
    <w:p>
      <w:pPr>
        <w:spacing w:after="60" w:before="200"/>
      </w:pPr>
      <w:r>
        <w:rPr>
          <w:rFonts w:ascii="Arial" w:cs="Arial" w:eastAsia="Arial" w:hAnsi="Arial"/>
          <w:b/>
          <w:bCs/>
          <w:color w:val="1A3A5C"/>
          <w:sz w:val="22"/>
          <w:szCs w:val="22"/>
        </w:rPr>
        <w:t xml:space="preserve">Journals to Monitor</w:t>
      </w:r>
    </w:p>
    <w:p>
      <w:pPr>
        <w:pStyle w:val="ListParagraph"/>
        <w:numPr>
          <w:ilvl w:val="0"/>
          <w:numId w:val="2"/>
        </w:numPr>
        <w:spacing w:after="40" w:before="40"/>
      </w:pPr>
      <w:r>
        <w:rPr>
          <w:rFonts w:ascii="Arial" w:cs="Arial" w:eastAsia="Arial" w:hAnsi="Arial"/>
          <w:color w:val="1A1A1A"/>
          <w:sz w:val="20"/>
          <w:szCs w:val="20"/>
        </w:rPr>
        <w:t xml:space="preserve">Public Understanding of Science (SAGE)</w:t>
      </w:r>
    </w:p>
    <w:p>
      <w:pPr>
        <w:pStyle w:val="ListParagraph"/>
        <w:numPr>
          <w:ilvl w:val="0"/>
          <w:numId w:val="2"/>
        </w:numPr>
        <w:spacing w:after="40" w:before="40"/>
      </w:pPr>
      <w:r>
        <w:rPr>
          <w:rFonts w:ascii="Arial" w:cs="Arial" w:eastAsia="Arial" w:hAnsi="Arial"/>
          <w:color w:val="1A1A1A"/>
          <w:sz w:val="20"/>
          <w:szCs w:val="20"/>
        </w:rPr>
        <w:t xml:space="preserve">Science Communication (SAGE)</w:t>
      </w:r>
    </w:p>
    <w:p>
      <w:pPr>
        <w:pStyle w:val="ListParagraph"/>
        <w:numPr>
          <w:ilvl w:val="0"/>
          <w:numId w:val="2"/>
        </w:numPr>
        <w:spacing w:after="40" w:before="40"/>
      </w:pPr>
      <w:r>
        <w:rPr>
          <w:rFonts w:ascii="Arial" w:cs="Arial" w:eastAsia="Arial" w:hAnsi="Arial"/>
          <w:color w:val="1A1A1A"/>
          <w:sz w:val="20"/>
          <w:szCs w:val="20"/>
        </w:rPr>
        <w:t xml:space="preserve">Vaccine (Elsevier) — for vaccine hesitancy research</w:t>
      </w:r>
    </w:p>
    <w:p>
      <w:pPr>
        <w:pStyle w:val="ListParagraph"/>
        <w:numPr>
          <w:ilvl w:val="0"/>
          <w:numId w:val="2"/>
        </w:numPr>
        <w:spacing w:after="40" w:before="40"/>
      </w:pPr>
      <w:r>
        <w:rPr>
          <w:rFonts w:ascii="Arial" w:cs="Arial" w:eastAsia="Arial" w:hAnsi="Arial"/>
          <w:color w:val="1A1A1A"/>
          <w:sz w:val="20"/>
          <w:szCs w:val="20"/>
        </w:rPr>
        <w:t xml:space="preserve">PLOS ONE — open access; search 'science denial', 'misinformation'</w:t>
      </w:r>
    </w:p>
    <w:p>
      <w:pPr>
        <w:spacing w:after="0" w:before="80"/>
      </w:pPr>
      <w:r>
        <w:t xml:space="preserve"/>
      </w:r>
    </w:p>
    <w:p>
      <w:pPr>
        <w:spacing w:after="60" w:before="200"/>
      </w:pPr>
      <w:r>
        <w:rPr>
          <w:rFonts w:ascii="Arial" w:cs="Arial" w:eastAsia="Arial" w:hAnsi="Arial"/>
          <w:b/>
          <w:bCs/>
          <w:color w:val="1A3A5C"/>
          <w:sz w:val="22"/>
          <w:szCs w:val="22"/>
        </w:rPr>
        <w:t xml:space="preserve">Databases</w:t>
      </w:r>
    </w:p>
    <w:p>
      <w:pPr>
        <w:pStyle w:val="ListParagraph"/>
        <w:numPr>
          <w:ilvl w:val="0"/>
          <w:numId w:val="2"/>
        </w:numPr>
        <w:spacing w:after="40" w:before="40"/>
      </w:pPr>
      <w:r>
        <w:rPr>
          <w:rFonts w:ascii="Arial" w:cs="Arial" w:eastAsia="Arial" w:hAnsi="Arial"/>
          <w:color w:val="1A1A1A"/>
          <w:sz w:val="20"/>
          <w:szCs w:val="20"/>
        </w:rPr>
        <w:t xml:space="preserve">Google Scholar — 'science denial', 'antiscience', 'climate skepticism'</w:t>
      </w:r>
    </w:p>
    <w:p>
      <w:pPr>
        <w:pStyle w:val="ListParagraph"/>
        <w:numPr>
          <w:ilvl w:val="0"/>
          <w:numId w:val="2"/>
        </w:numPr>
        <w:spacing w:after="40" w:before="40"/>
      </w:pPr>
      <w:r>
        <w:rPr>
          <w:rFonts w:ascii="Arial" w:cs="Arial" w:eastAsia="Arial" w:hAnsi="Arial"/>
          <w:color w:val="1A1A1A"/>
          <w:sz w:val="20"/>
          <w:szCs w:val="20"/>
        </w:rPr>
        <w:t xml:space="preserve">PubMed — public health and vaccine-related antiscience</w:t>
      </w:r>
    </w:p>
    <w:p>
      <w:pPr>
        <w:pStyle w:val="ListParagraph"/>
        <w:numPr>
          <w:ilvl w:val="0"/>
          <w:numId w:val="2"/>
        </w:numPr>
        <w:spacing w:after="40" w:before="40"/>
      </w:pPr>
      <w:r>
        <w:rPr>
          <w:rFonts w:ascii="Arial" w:cs="Arial" w:eastAsia="Arial" w:hAnsi="Arial"/>
          <w:color w:val="1A1A1A"/>
          <w:sz w:val="20"/>
          <w:szCs w:val="20"/>
        </w:rPr>
        <w:t xml:space="preserve">ERIC — education-specific science literacy research</w:t>
      </w:r>
    </w:p>
    <w:p>
      <w:pPr>
        <w:pStyle w:val="ListParagraph"/>
        <w:numPr>
          <w:ilvl w:val="0"/>
          <w:numId w:val="2"/>
        </w:numPr>
        <w:spacing w:after="40" w:before="40"/>
      </w:pPr>
      <w:r>
        <w:rPr>
          <w:rFonts w:ascii="Arial" w:cs="Arial" w:eastAsia="Arial" w:hAnsi="Arial"/>
          <w:color w:val="1A1A1A"/>
          <w:sz w:val="20"/>
          <w:szCs w:val="20"/>
        </w:rPr>
        <w:t xml:space="preserve">Semantic Scholar — AI-assisted citation mapping</w:t>
      </w:r>
    </w:p>
    <w:p>
      <w:pPr>
        <w:spacing w:after="0" w:before="80"/>
      </w:pPr>
      <w:r>
        <w:t xml:space="preserve"/>
      </w:r>
    </w:p>
    <w:p>
      <w:pPr>
        <w:spacing w:after="60" w:before="200"/>
      </w:pPr>
      <w:r>
        <w:rPr>
          <w:rFonts w:ascii="Arial" w:cs="Arial" w:eastAsia="Arial" w:hAnsi="Arial"/>
          <w:b/>
          <w:bCs/>
          <w:color w:val="1A3A5C"/>
          <w:sz w:val="22"/>
          <w:szCs w:val="22"/>
        </w:rPr>
        <w:t xml:space="preserve">Watchdog &amp; Fact-Checking Organisations</w:t>
      </w:r>
    </w:p>
    <w:p>
      <w:pPr>
        <w:pStyle w:val="ListParagraph"/>
        <w:numPr>
          <w:ilvl w:val="0"/>
          <w:numId w:val="2"/>
        </w:numPr>
        <w:spacing w:after="40" w:before="40"/>
      </w:pPr>
      <w:r>
        <w:rPr>
          <w:rFonts w:ascii="Arial" w:cs="Arial" w:eastAsia="Arial" w:hAnsi="Arial"/>
          <w:color w:val="1A1A1A"/>
          <w:sz w:val="20"/>
          <w:szCs w:val="20"/>
        </w:rPr>
        <w:t xml:space="preserve">Science Feedback (sciencefeedback.co) — gold standard for science-specific claims</w:t>
      </w:r>
    </w:p>
    <w:p>
      <w:pPr>
        <w:pStyle w:val="ListParagraph"/>
        <w:numPr>
          <w:ilvl w:val="0"/>
          <w:numId w:val="2"/>
        </w:numPr>
        <w:spacing w:after="40" w:before="40"/>
      </w:pPr>
      <w:r>
        <w:rPr>
          <w:rFonts w:ascii="Arial" w:cs="Arial" w:eastAsia="Arial" w:hAnsi="Arial"/>
          <w:color w:val="1A1A1A"/>
          <w:sz w:val="20"/>
          <w:szCs w:val="20"/>
        </w:rPr>
        <w:t xml:space="preserve">Center for Countering Digital Hate — antivax/antiscience online ecosystem reports</w:t>
      </w:r>
    </w:p>
    <w:p>
      <w:pPr>
        <w:pStyle w:val="ListParagraph"/>
        <w:numPr>
          <w:ilvl w:val="0"/>
          <w:numId w:val="2"/>
        </w:numPr>
        <w:spacing w:after="40" w:before="40"/>
      </w:pPr>
      <w:r>
        <w:rPr>
          <w:rFonts w:ascii="Arial" w:cs="Arial" w:eastAsia="Arial" w:hAnsi="Arial"/>
          <w:color w:val="1A1A1A"/>
          <w:sz w:val="20"/>
          <w:szCs w:val="20"/>
        </w:rPr>
        <w:t xml:space="preserve">George Mason University Center for Climate Change Communication — free teaching materials</w:t>
      </w:r>
    </w:p>
    <w:p>
      <w:pPr>
        <w:pStyle w:val="ListParagraph"/>
        <w:numPr>
          <w:ilvl w:val="0"/>
          <w:numId w:val="2"/>
        </w:numPr>
        <w:spacing w:after="40" w:before="40"/>
      </w:pPr>
      <w:r>
        <w:rPr>
          <w:rFonts w:ascii="Arial" w:cs="Arial" w:eastAsia="Arial" w:hAnsi="Arial"/>
          <w:color w:val="1A1A1A"/>
          <w:sz w:val="20"/>
          <w:szCs w:val="20"/>
        </w:rPr>
        <w:t xml:space="preserve">Climate Feedback — peer-reviewed climate misinformation assessments</w:t>
      </w:r>
    </w:p>
    <w:p>
      <w:pPr>
        <w:spacing w:after="0" w:before="200"/>
      </w:pPr>
      <w:r>
        <w:t xml:space="preserve"/>
      </w:r>
    </w:p>
    <w:p>
      <w:pPr>
        <w:pStyle w:val="Heading1"/>
        <w:pBdr>
          <w:bottom w:val="single" w:color="2E6DA4" w:sz="6" w:space="4"/>
        </w:pBdr>
        <w:spacing w:after="120" w:before="360"/>
      </w:pPr>
      <w:r>
        <w:rPr>
          <w:rFonts w:ascii="Arial" w:cs="Arial" w:eastAsia="Arial" w:hAnsi="Arial"/>
          <w:b/>
          <w:bCs/>
          <w:color w:val="1A3A5C"/>
          <w:sz w:val="28"/>
          <w:szCs w:val="28"/>
        </w:rPr>
        <w:t xml:space="preserve">Assessment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360"/>
        <w:gridCol w:w="2000"/>
        <w:gridCol w:w="2000"/>
      </w:tblGrid>
      <w:tr>
        <w:tc>
          <w:tcPr>
            <w:tcW w:type="dxa" w:w="536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r>
              <w:rPr>
                <w:rFonts w:ascii="Arial" w:cs="Arial" w:eastAsia="Arial" w:hAnsi="Arial"/>
                <w:b/>
                <w:bCs/>
                <w:color w:val="FFFFFF"/>
                <w:sz w:val="18"/>
                <w:szCs w:val="18"/>
              </w:rPr>
              <w:t xml:space="preserve">Assessment</w:t>
            </w:r>
          </w:p>
        </w:tc>
        <w:tc>
          <w:tcPr>
            <w:tcW w:type="dxa" w:w="200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r>
              <w:rPr>
                <w:rFonts w:ascii="Arial" w:cs="Arial" w:eastAsia="Arial" w:hAnsi="Arial"/>
                <w:b/>
                <w:bCs/>
                <w:color w:val="FFFFFF"/>
                <w:sz w:val="18"/>
                <w:szCs w:val="18"/>
              </w:rPr>
              <w:t xml:space="preserve">Due</w:t>
            </w:r>
          </w:p>
        </w:tc>
        <w:tc>
          <w:tcPr>
            <w:tcW w:type="dxa" w:w="200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r>
              <w:rPr>
                <w:rFonts w:ascii="Arial" w:cs="Arial" w:eastAsia="Arial" w:hAnsi="Arial"/>
                <w:b/>
                <w:bCs/>
                <w:color w:val="FFFFFF"/>
                <w:sz w:val="18"/>
                <w:szCs w:val="18"/>
              </w:rPr>
              <w:t xml:space="preserve">Weight</w:t>
            </w:r>
          </w:p>
        </w:tc>
      </w:tr>
      <w:tr>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Weekly discussion participation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Ongoing</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3A5C"/>
                <w:sz w:val="18"/>
                <w:szCs w:val="18"/>
              </w:rPr>
              <w:t xml:space="preserve">20%</w:t>
            </w:r>
          </w:p>
        </w:tc>
      </w:tr>
      <w:tr>
        <w:tc>
          <w:tcPr>
            <w:tcW w:type="dxa" w:w="5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color w:val="1A1A1A"/>
                <w:sz w:val="18"/>
                <w:szCs w:val="18"/>
              </w:rPr>
              <w:t xml:space="preserve">Unit 2 case study (800 words)</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color w:val="1A1A1A"/>
                <w:sz w:val="18"/>
                <w:szCs w:val="18"/>
              </w:rPr>
              <w:t xml:space="preserve">End of Week 4</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3A5C"/>
                <w:sz w:val="18"/>
                <w:szCs w:val="18"/>
              </w:rPr>
              <w:t xml:space="preserve">20%</w:t>
            </w:r>
          </w:p>
        </w:tc>
      </w:tr>
      <w:tr>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Unit 4 media tracing exercise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18"/>
                <w:szCs w:val="18"/>
              </w:rPr>
              <w:t xml:space="preserve">End of Week 8</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3A5C"/>
                <w:sz w:val="18"/>
                <w:szCs w:val="18"/>
              </w:rPr>
              <w:t xml:space="preserve">20%</w:t>
            </w:r>
          </w:p>
        </w:tc>
      </w:tr>
      <w:tr>
        <w:tc>
          <w:tcPr>
            <w:tcW w:type="dxa" w:w="5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color w:val="1A1A1A"/>
                <w:sz w:val="18"/>
                <w:szCs w:val="18"/>
              </w:rPr>
              <w:t xml:space="preserve">Final policy brief (1,500 words)</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color w:val="1A1A1A"/>
                <w:sz w:val="18"/>
                <w:szCs w:val="18"/>
              </w:rPr>
              <w:t xml:space="preserve">End of Week 12</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color w:val="1A3A5C"/>
                <w:sz w:val="18"/>
                <w:szCs w:val="18"/>
              </w:rPr>
              <w:t xml:space="preserve">40%</w:t>
            </w:r>
          </w:p>
        </w:tc>
      </w:tr>
    </w:tbl>
    <w:p>
      <w:pPr>
        <w:spacing w:after="0" w:before="200"/>
      </w:pPr>
      <w:r>
        <w:t xml:space="preserve"/>
      </w:r>
    </w:p>
    <w:p>
      <w:pPr>
        <w:spacing w:after="0" w:before="200"/>
        <w:jc w:val="center"/>
      </w:pPr>
      <w:r>
        <w:rPr>
          <w:rFonts w:ascii="Arial" w:cs="Arial" w:eastAsia="Arial" w:hAnsi="Arial"/>
          <w:i/>
          <w:iCs/>
          <w:color w:val="888888"/>
          <w:sz w:val="16"/>
          <w:szCs w:val="16"/>
        </w:rPr>
        <w:t xml:space="preserve">This syllabus may be freely adapted for non-commercial educational use.</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Understanding Antiscience: A Course Syllabus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abstractNum>
  <w:abstractNum w:abstractNumId="3" w15:restartNumberingAfterBreak="0">
    <w:multiLevelType w:val="hybridMultilevel"/>
    <w:lvl w:ilvl="0" w15:tentative="1">
      <w:start w:val="1"/>
      <w:numFmt w:val="bullet"/>
      <w:lvlText w:val="◦"/>
      <w:lvlJc w:val="left"/>
      <w:pPr>
        <w:ind w:left="90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A3A5C"/>
      <w:sz w:val="28"/>
      <w:szCs w:val="28"/>
    </w:rPr>
  </w:style>
  <w:style w:type="paragraph" w:styleId="Heading2">
    <w:name w:val="Heading 2"/>
    <w:basedOn w:val="Normal"/>
    <w:next w:val="Normal"/>
    <w:qFormat/>
    <w:pPr>
      <w:spacing w:after="80" w:before="280"/>
      <w:outlineLvl w:val="1"/>
    </w:pPr>
    <w:rPr>
      <w:rFonts w:ascii="Arial" w:cs="Arial" w:eastAsia="Arial" w:hAnsi="Arial"/>
      <w:b/>
      <w:bCs/>
      <w:color w:val="2E6DA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2026-05-13T22:57:55.456Z</dcterms:created>
  <dcterms:modified xsi:type="dcterms:W3CDTF">2026-05-13T22:57:55.456Z</dcterms:modified>
</cp:coreProperties>
</file>

<file path=docProps/custom.xml><?xml version="1.0" encoding="utf-8"?>
<Properties xmlns="http://schemas.openxmlformats.org/officeDocument/2006/custom-properties" xmlns:vt="http://schemas.openxmlformats.org/officeDocument/2006/docPropsVTypes"/>
</file>