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0f2642" w:val="clear"/>
            <w:tcMar>
              <w:top w:type="dxa" w:w="600"/>
              <w:left w:type="dxa" w:w="480"/>
              <w:bottom w:type="dxa" w:w="600"/>
              <w:right w:type="dxa" w:w="480"/>
            </w:tcMar>
          </w:tcPr>
          <w:p>
            <w:pPr>
              <w:spacing w:after="80"/>
            </w:pPr>
            <w:r>
              <w:rPr>
                <w:rFonts w:ascii="Arial" w:cs="Arial" w:eastAsia="Arial" w:hAnsi="Arial"/>
                <w:b/>
                <w:bCs/>
                <w:color w:val="88aacc"/>
                <w:spacing w:val="120"/>
                <w:sz w:val="20"/>
                <w:szCs w:val="20"/>
              </w:rPr>
              <w:t xml:space="preserve">STUDENT WORKBOOK</w:t>
            </w:r>
          </w:p>
          <w:p>
            <w:pPr>
              <w:spacing w:after="80"/>
            </w:pPr>
            <w:r>
              <w:rPr>
                <w:rFonts w:ascii="Arial" w:cs="Arial" w:eastAsia="Arial" w:hAnsi="Arial"/>
                <w:b/>
                <w:bCs/>
                <w:color w:val="ffffff"/>
                <w:sz w:val="52"/>
                <w:szCs w:val="52"/>
              </w:rPr>
              <w:t xml:space="preserve">Understanding</w:t>
            </w:r>
          </w:p>
          <w:p>
            <w:pPr>
              <w:spacing w:after="120"/>
            </w:pPr>
            <w:r>
              <w:rPr>
                <w:rFonts w:ascii="Arial" w:cs="Arial" w:eastAsia="Arial" w:hAnsi="Arial"/>
                <w:b/>
                <w:bCs/>
                <w:color w:val="d4a017"/>
                <w:sz w:val="52"/>
                <w:szCs w:val="52"/>
              </w:rPr>
              <w:t xml:space="preserve">Antiscience</w:t>
            </w:r>
          </w:p>
          <w:p>
            <w:pPr>
              <w:spacing w:after="240"/>
            </w:pPr>
            <w:r>
              <w:rPr>
                <w:rFonts w:ascii="Arial" w:cs="Arial" w:eastAsia="Arial" w:hAnsi="Arial"/>
                <w:color w:val="aaccee"/>
                <w:sz w:val="22"/>
                <w:szCs w:val="22"/>
              </w:rPr>
              <w:t xml:space="preserve">Origins · Mechanisms · Countermeasures</w:t>
            </w:r>
          </w:p>
          <w:p>
            <w:pPr>
              <w:spacing w:after="60"/>
            </w:pPr>
            <w:r>
              <w:rPr>
                <w:rFonts w:ascii="Arial" w:cs="Arial" w:eastAsia="Arial" w:hAnsi="Arial"/>
                <w:color w:val="88aacc"/>
                <w:sz w:val="20"/>
                <w:szCs w:val="20"/>
              </w:rPr>
              <w:t xml:space="preserve">Student name:</w:t>
            </w:r>
          </w:p>
          <w:p>
            <w:pPr>
              <w:spacing w:after="40"/>
            </w:pPr>
            <w:r>
              <w:rPr>
                <w:rFonts w:ascii="Arial" w:cs="Arial" w:eastAsia="Arial" w:hAnsi="Arial"/>
                <w:color w:val="aaccee"/>
                <w:sz w:val="20"/>
                <w:szCs w:val="20"/>
              </w:rPr>
              <w:t xml:space="preserve">_________________________________________________</w:t>
            </w:r>
          </w:p>
          <w:p>
            <w:pPr>
              <w:spacing w:after="60" w:before="80"/>
            </w:pPr>
            <w:r>
              <w:rPr>
                <w:rFonts w:ascii="Arial" w:cs="Arial" w:eastAsia="Arial" w:hAnsi="Arial"/>
                <w:color w:val="88aacc"/>
                <w:sz w:val="20"/>
                <w:szCs w:val="20"/>
              </w:rPr>
              <w:t xml:space="preserve">Course / Institution:</w:t>
            </w:r>
          </w:p>
          <w:p>
            <w:r>
              <w:rPr>
                <w:rFonts w:ascii="Arial" w:cs="Arial" w:eastAsia="Arial" w:hAnsi="Arial"/>
                <w:color w:val="aaccee"/>
                <w:sz w:val="20"/>
                <w:szCs w:val="20"/>
              </w:rPr>
              <w:t xml:space="preserve">_________________________________________________</w:t>
            </w:r>
          </w:p>
        </w:tc>
      </w:tr>
    </w:tbl>
    <w:p>
      <w:pPr>
        <w:spacing w:after="0" w:before="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dbeafe" w:val="clear"/>
            <w:tcMar>
              <w:top w:type="dxa" w:w="100"/>
              <w:left w:type="dxa" w:w="140"/>
              <w:bottom w:type="dxa" w:w="100"/>
              <w:right w:type="dxa" w:w="140"/>
            </w:tcMar>
          </w:tcPr>
          <w:p>
            <w:pPr>
              <w:jc w:val="center"/>
            </w:pPr>
            <w:r>
              <w:rPr>
                <w:rFonts w:ascii="Arial" w:cs="Arial" w:eastAsia="Arial" w:hAnsi="Arial"/>
                <w:b/>
                <w:bCs/>
                <w:color w:val="0f2642"/>
                <w:sz w:val="22"/>
                <w:szCs w:val="22"/>
              </w:rPr>
              <w:t xml:space="preserve">8 sections</w:t>
            </w:r>
          </w:p>
          <w:p>
            <w:pPr>
              <w:jc w:val="center"/>
            </w:pPr>
            <w:r>
              <w:rPr>
                <w:rFonts w:ascii="Arial" w:cs="Arial" w:eastAsia="Arial" w:hAnsi="Arial"/>
                <w:color w:val="555555"/>
                <w:sz w:val="16"/>
                <w:szCs w:val="16"/>
              </w:rPr>
              <w:t xml:space="preserve">Intro + 6 units + capstone</w:t>
            </w:r>
          </w:p>
        </w:tc>
        <w:tc>
          <w:tcPr>
            <w:tcW w:type="dxa" w:w="3120"/>
            <w:tcBorders>
              <w:top w:val="single" w:color="cccccc" w:sz="1"/>
              <w:left w:val="single" w:color="cccccc" w:sz="1"/>
              <w:bottom w:val="single" w:color="cccccc" w:sz="1"/>
              <w:right w:val="single" w:color="cccccc" w:sz="1"/>
            </w:tcBorders>
            <w:shd w:fill="dbeafe" w:val="clear"/>
            <w:tcMar>
              <w:top w:type="dxa" w:w="100"/>
              <w:left w:type="dxa" w:w="140"/>
              <w:bottom w:type="dxa" w:w="100"/>
              <w:right w:type="dxa" w:w="140"/>
            </w:tcMar>
          </w:tcPr>
          <w:p>
            <w:pPr>
              <w:jc w:val="center"/>
            </w:pPr>
            <w:r>
              <w:rPr>
                <w:rFonts w:ascii="Arial" w:cs="Arial" w:eastAsia="Arial" w:hAnsi="Arial"/>
                <w:b/>
                <w:bCs/>
                <w:color w:val="0f2642"/>
                <w:sz w:val="22"/>
                <w:szCs w:val="22"/>
              </w:rPr>
              <w:t xml:space="preserve">30+ activities</w:t>
            </w:r>
          </w:p>
          <w:p>
            <w:pPr>
              <w:jc w:val="center"/>
            </w:pPr>
            <w:r>
              <w:rPr>
                <w:rFonts w:ascii="Arial" w:cs="Arial" w:eastAsia="Arial" w:hAnsi="Arial"/>
                <w:color w:val="555555"/>
                <w:sz w:val="16"/>
                <w:szCs w:val="16"/>
              </w:rPr>
              <w:t xml:space="preserve">Reflections, exercises &amp; cases</w:t>
            </w:r>
          </w:p>
        </w:tc>
        <w:tc>
          <w:tcPr>
            <w:tcW w:type="dxa" w:w="3120"/>
            <w:tcBorders>
              <w:top w:val="single" w:color="cccccc" w:sz="1"/>
              <w:left w:val="single" w:color="cccccc" w:sz="1"/>
              <w:bottom w:val="single" w:color="cccccc" w:sz="1"/>
              <w:right w:val="single" w:color="cccccc" w:sz="1"/>
            </w:tcBorders>
            <w:shd w:fill="dbeafe" w:val="clear"/>
            <w:tcMar>
              <w:top w:type="dxa" w:w="100"/>
              <w:left w:type="dxa" w:w="140"/>
              <w:bottom w:type="dxa" w:w="100"/>
              <w:right w:type="dxa" w:w="140"/>
            </w:tcMar>
          </w:tcPr>
          <w:p>
            <w:pPr>
              <w:jc w:val="center"/>
            </w:pPr>
            <w:r>
              <w:rPr>
                <w:rFonts w:ascii="Arial" w:cs="Arial" w:eastAsia="Arial" w:hAnsi="Arial"/>
                <w:b/>
                <w:bCs/>
                <w:color w:val="0f2642"/>
                <w:sz w:val="22"/>
                <w:szCs w:val="22"/>
              </w:rPr>
              <w:t xml:space="preserve">12 weeks</w:t>
            </w:r>
          </w:p>
          <w:p>
            <w:pPr>
              <w:jc w:val="center"/>
            </w:pPr>
            <w:r>
              <w:rPr>
                <w:rFonts w:ascii="Arial" w:cs="Arial" w:eastAsia="Arial" w:hAnsi="Arial"/>
                <w:color w:val="555555"/>
                <w:sz w:val="16"/>
                <w:szCs w:val="16"/>
              </w:rPr>
              <w:t xml:space="preserve">Aligned to course syllabus</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3a5c"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INTRODUCTION</w:t>
            </w:r>
          </w:p>
          <w:p>
            <w:r>
              <w:rPr>
                <w:rFonts w:ascii="Arial" w:cs="Arial" w:eastAsia="Arial" w:hAnsi="Arial"/>
                <w:b/>
                <w:bCs/>
                <w:color w:val="ffffff"/>
                <w:sz w:val="28"/>
                <w:szCs w:val="28"/>
              </w:rPr>
              <w:t xml:space="preserve">How to Use This Workbook</w:t>
            </w:r>
          </w:p>
        </w:tc>
      </w:tr>
    </w:tbl>
    <w:p>
      <w:pPr>
        <w:spacing w:after="0" w:before="160"/>
      </w:pPr>
      <w:r>
        <w:t xml:space="preserve"/>
      </w:r>
    </w:p>
    <w:p>
      <w:pPr>
        <w:spacing w:after="80" w:before="0"/>
      </w:pPr>
      <w:r>
        <w:rPr>
          <w:rFonts w:ascii="Arial" w:cs="Arial" w:eastAsia="Arial" w:hAnsi="Arial"/>
          <w:color w:val="1a1a1a"/>
          <w:sz w:val="20"/>
          <w:szCs w:val="20"/>
        </w:rPr>
        <w:t xml:space="preserve">This workbook is your companion to the Understanding Antiscience course. It is designed to deepen your engagement with the material through structured reflection, hands-on activities, and applied case studies. You are not expected to complete every element in a single sitting — work through each section as you progress through the corresponding unit.</w:t>
      </w:r>
    </w:p>
    <w:p>
      <w:pPr>
        <w:spacing w:after="0" w:before="80"/>
      </w:pPr>
      <w:r>
        <w:t xml:space="preserve"/>
      </w:r>
    </w:p>
    <w:p>
      <w:pPr>
        <w:spacing w:after="80" w:before="240"/>
      </w:pPr>
      <w:r>
        <w:rPr>
          <w:rFonts w:ascii="Arial" w:cs="Arial" w:eastAsia="Arial" w:hAnsi="Arial"/>
          <w:b/>
          <w:bCs/>
          <w:color w:val="0f2642"/>
          <w:spacing w:val="40"/>
          <w:sz w:val="18"/>
          <w:szCs w:val="18"/>
        </w:rPr>
        <w:t xml:space="preserve">◆  HOW EACH UNIT IS ORGANISED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Lesson Summary — a concise overview of the unit's core ideas for quick review and revision.</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Key Concepts — essential terms and frameworks, with space for your own notes and definitions.</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Reflection Questions — open-ended prompts to connect course content to your own experience and thinking.</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Activities — structured exercises including analysis tasks, argument mapping, and source evaluation.</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Case Studies — real-world scenarios that require you to apply the unit's frameworks to specific examples.</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6</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Knowledge Check — a short self-assessment quiz to test your retention before moving to the next unit.</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cfce7" w:val="clear"/>
            <w:tcMar>
              <w:top w:type="dxa" w:w="120"/>
              <w:left w:type="dxa" w:w="200"/>
              <w:bottom w:type="dxa" w:w="120"/>
              <w:right w:type="dxa" w:w="200"/>
            </w:tcMar>
          </w:tcPr>
          <w:p>
            <w:pPr>
              <w:spacing w:after="80"/>
            </w:pPr>
            <w:r>
              <w:rPr>
                <w:rFonts w:ascii="Arial" w:cs="Arial" w:eastAsia="Arial" w:hAnsi="Arial"/>
                <w:b/>
                <w:bCs/>
                <w:color w:val="166534"/>
                <w:spacing w:val="40"/>
                <w:sz w:val="16"/>
                <w:szCs w:val="16"/>
              </w:rPr>
              <w:t xml:space="preserve">✓  BEFORE YOU BEGIN EACH UNIT, MAKE SURE YOU HAVE:</w:t>
            </w:r>
          </w:p>
          <w:p>
            <w:pPr>
              <w:spacing w:after="40" w:before="40"/>
            </w:pPr>
            <w:r>
              <w:rPr>
                <w:rFonts w:ascii="Arial" w:cs="Arial" w:eastAsia="Arial" w:hAnsi="Arial"/>
                <w:color w:val="14532d"/>
                <w:sz w:val="20"/>
                <w:szCs w:val="20"/>
              </w:rPr>
              <w:t xml:space="preserve">☐  Completed the assigned readings listed in the course syllabus</w:t>
            </w:r>
          </w:p>
          <w:p>
            <w:pPr>
              <w:spacing w:after="40" w:before="40"/>
            </w:pPr>
            <w:r>
              <w:rPr>
                <w:rFonts w:ascii="Arial" w:cs="Arial" w:eastAsia="Arial" w:hAnsi="Arial"/>
                <w:color w:val="14532d"/>
                <w:sz w:val="20"/>
                <w:szCs w:val="20"/>
              </w:rPr>
              <w:t xml:space="preserve">☐  Attended or reviewed the corresponding lesson in the online course</w:t>
            </w:r>
          </w:p>
          <w:p>
            <w:pPr>
              <w:spacing w:after="40" w:before="40"/>
            </w:pPr>
            <w:r>
              <w:rPr>
                <w:rFonts w:ascii="Arial" w:cs="Arial" w:eastAsia="Arial" w:hAnsi="Arial"/>
                <w:color w:val="14532d"/>
                <w:sz w:val="20"/>
                <w:szCs w:val="20"/>
              </w:rPr>
              <w:t xml:space="preserve">☐  Noted any questions or points of confusion to bring to discussion</w:t>
            </w:r>
          </w:p>
          <w:p>
            <w:pPr>
              <w:spacing w:after="40" w:before="40"/>
            </w:pPr>
            <w:r>
              <w:rPr>
                <w:rFonts w:ascii="Arial" w:cs="Arial" w:eastAsia="Arial" w:hAnsi="Arial"/>
                <w:color w:val="14532d"/>
                <w:sz w:val="20"/>
                <w:szCs w:val="20"/>
              </w:rPr>
              <w:t xml:space="preserve">☐  Set aside uninterrupted time — most units take 45–90 minutes to work through fully</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0f2642"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UNIT 1  ·  Weeks 1–2</w:t>
            </w:r>
          </w:p>
          <w:p>
            <w:r>
              <w:rPr>
                <w:rFonts w:ascii="Arial" w:cs="Arial" w:eastAsia="Arial" w:hAnsi="Arial"/>
                <w:b/>
                <w:bCs/>
                <w:color w:val="ffffff"/>
                <w:sz w:val="28"/>
                <w:szCs w:val="28"/>
              </w:rPr>
              <w:t xml:space="preserve">Foundations: What Is Antiscience?</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LESSON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Antiscience is not the same as legitimate scientific scepticism. Scepticism interrogates evidence and follows it wherever it leads; denial starts with a conclusion and rejects contrary evidence.</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Diethelm and McKee identified five hallmarks of science denial: conspiracy theories, fake experts, cherry-picking, impossible expectations, and misrepresentation (the FLICC framework).</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Science produces reliable knowledge not because individual scientists are infallible, but because the institution of science is designed to catch and correct its own errors through peer review, replication, and open data.</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Manufactured controversy — making a settled scientific question appear contested — is a core antiscience strategy. Oreskes (2004) found zero peer-reviewed papers rejecting the climate consensus, yet public debate portrayed it as unresolved.</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Science denial frequently inverts the burden of proof: demanding that scientists prove a negative rather than requiring deniers to meet evidentiary standards.</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3fb" w:val="clear"/>
            <w:tcMar>
              <w:top w:type="dxa" w:w="120"/>
              <w:left w:type="dxa" w:w="200"/>
              <w:bottom w:type="dxa" w:w="120"/>
              <w:right w:type="dxa" w:w="200"/>
            </w:tcMar>
          </w:tcPr>
          <w:p>
            <w:pPr>
              <w:spacing w:after="60"/>
            </w:pPr>
            <w:r>
              <w:rPr>
                <w:rFonts w:ascii="Arial" w:cs="Arial" w:eastAsia="Arial" w:hAnsi="Arial"/>
                <w:b/>
                <w:bCs/>
                <w:color w:val="2563a8"/>
                <w:spacing w:val="40"/>
                <w:sz w:val="16"/>
                <w:szCs w:val="16"/>
              </w:rPr>
              <w:t xml:space="preserve">KEY CONCEPT  —  The FLICC Framework</w:t>
            </w:r>
          </w:p>
          <w:p>
            <w:r>
              <w:rPr>
                <w:rFonts w:ascii="Arial" w:cs="Arial" w:eastAsia="Arial" w:hAnsi="Arial"/>
                <w:i/>
                <w:iCs/>
                <w:color w:val="1a3a5c"/>
                <w:sz w:val="20"/>
                <w:szCs w:val="20"/>
              </w:rPr>
              <w:t xml:space="preserve">Fake experts · Logical fallacies · Impossible expectations · Cherry-picking · Conspiracy theories. These five strategies appear across virtually every science denial movement regardless of topic.</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KEY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Term</w:t>
            </w:r>
          </w:p>
        </w:tc>
        <w:tc>
          <w:tcPr>
            <w:tcW w:type="dxa" w:w="6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My definition (in my own words)</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Falsificationism</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Scientific consensus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Peer review</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Manufactroversy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Burden of proof</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Confirmation bias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p>
      <w:pPr>
        <w:spacing w:after="80" w:before="240"/>
      </w:pPr>
      <w:r>
        <w:rPr>
          <w:rFonts w:ascii="Arial" w:cs="Arial" w:eastAsia="Arial" w:hAnsi="Arial"/>
          <w:b/>
          <w:bCs/>
          <w:color w:val="92400e"/>
          <w:spacing w:val="40"/>
          <w:sz w:val="18"/>
          <w:szCs w:val="18"/>
        </w:rPr>
        <w:t xml:space="preserve">◆  REFLECTION QUESTIONS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Think of a scientific claim you have encountered that was described as 'controversial.' Using the FLICC framework, can you identify which denial strategies, if any, were being used in the coverage you saw?</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Sagan wrote that science requires a 'baloney detection kit' — a set of cognitive tools for evaluating claims. What tools do you already use when evaluating information, and which do you think you need to develop further?</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120"/>
      </w:pPr>
      <w:r>
        <w:t xml:space="preserve"/>
      </w:r>
    </w:p>
    <w:p>
      <w:pPr>
        <w:spacing w:after="80" w:before="240"/>
      </w:pPr>
      <w:r>
        <w:rPr>
          <w:rFonts w:ascii="Arial" w:cs="Arial" w:eastAsia="Arial" w:hAnsi="Arial"/>
          <w:b/>
          <w:bCs/>
          <w:color w:val="0e7490"/>
          <w:spacing w:val="40"/>
          <w:sz w:val="18"/>
          <w:szCs w:val="18"/>
        </w:rPr>
        <w:t xml:space="preserve">◆  ACTIVITY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0f2f7" w:val="clear"/>
            <w:tcMar>
              <w:top w:type="dxa" w:w="120"/>
              <w:left w:type="dxa" w:w="200"/>
              <w:bottom w:type="dxa" w:w="120"/>
              <w:right w:type="dxa" w:w="200"/>
            </w:tcMar>
          </w:tcPr>
          <w:p>
            <w:pPr>
              <w:spacing w:after="60"/>
            </w:pPr>
            <w:r>
              <w:rPr>
                <w:rFonts w:ascii="Arial" w:cs="Arial" w:eastAsia="Arial" w:hAnsi="Arial"/>
                <w:b/>
                <w:bCs/>
                <w:color w:val="0e7490"/>
                <w:spacing w:val="40"/>
                <w:sz w:val="16"/>
                <w:szCs w:val="16"/>
              </w:rPr>
              <w:t xml:space="preserve">✦  ACTIVITY  —  THE FIVE HALLMARKS SPOTTER</w:t>
            </w:r>
          </w:p>
          <w:p>
            <w:pPr>
              <w:spacing w:after="80"/>
            </w:pPr>
            <w:r>
              <w:rPr>
                <w:rFonts w:ascii="Arial" w:cs="Arial" w:eastAsia="Arial" w:hAnsi="Arial"/>
                <w:color w:val="134e4a"/>
                <w:sz w:val="20"/>
                <w:szCs w:val="20"/>
              </w:rPr>
              <w:t xml:space="preserve">Read the following excerpt from a real antiscience document (your instructor will provide one, or select one from the course resource list). For each sentence or claim in the excerpt, identify which FLICC hallmark it uses. Some sentences may use more than one.</w:t>
            </w:r>
          </w:p>
          <w:p>
            <w:pPr>
              <w:spacing w:after="40" w:before="40"/>
              <w:ind w:left="240"/>
            </w:pPr>
            <w:r>
              <w:rPr>
                <w:rFonts w:ascii="Arial" w:cs="Arial" w:eastAsia="Arial" w:hAnsi="Arial"/>
                <w:color w:val="134e4a"/>
                <w:sz w:val="20"/>
                <w:szCs w:val="20"/>
              </w:rPr>
              <w:t xml:space="preserve">1.  Read the excerpt once through without annotating.</w:t>
            </w:r>
          </w:p>
          <w:p>
            <w:pPr>
              <w:spacing w:after="40" w:before="40"/>
              <w:ind w:left="240"/>
            </w:pPr>
            <w:r>
              <w:rPr>
                <w:rFonts w:ascii="Arial" w:cs="Arial" w:eastAsia="Arial" w:hAnsi="Arial"/>
                <w:color w:val="134e4a"/>
                <w:sz w:val="20"/>
                <w:szCs w:val="20"/>
              </w:rPr>
              <w:t xml:space="preserve">2.  On a second reading, highlight or underline each claim that appears to use a denial strategy.</w:t>
            </w:r>
          </w:p>
          <w:p>
            <w:pPr>
              <w:spacing w:after="40" w:before="40"/>
              <w:ind w:left="240"/>
            </w:pPr>
            <w:r>
              <w:rPr>
                <w:rFonts w:ascii="Arial" w:cs="Arial" w:eastAsia="Arial" w:hAnsi="Arial"/>
                <w:color w:val="134e4a"/>
                <w:sz w:val="20"/>
                <w:szCs w:val="20"/>
              </w:rPr>
              <w:t xml:space="preserve">3.  In the table below, record the claim, the hallmark it uses, and a one-sentence explanation of why.</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2000"/>
        <w:gridCol w:w="3160"/>
      </w:tblGrid>
      <w:tr>
        <w:tc>
          <w:tcPr>
            <w:tcW w:type="dxa" w:w="42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Claim / Statement</w:t>
            </w:r>
          </w:p>
        </w:tc>
        <w:tc>
          <w:tcPr>
            <w:tcW w:type="dxa" w:w="2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FLICC Hallmark</w:t>
            </w:r>
          </w:p>
        </w:tc>
        <w:tc>
          <w:tcPr>
            <w:tcW w:type="dxa" w:w="31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Why?</w:t>
            </w:r>
          </w:p>
        </w:tc>
      </w:tr>
      <w:tr>
        <w:tc>
          <w:tcPr>
            <w:tcW w:type="dxa" w:w="42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c>
          <w:tcPr>
            <w:tcW w:type="dxa" w:w="2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c>
          <w:tcPr>
            <w:tcW w:type="dxa" w:w="31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42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c>
          <w:tcPr>
            <w:tcW w:type="dxa" w:w="2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c>
          <w:tcPr>
            <w:tcW w:type="dxa" w:w="31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4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9fe" w:val="clear"/>
            <w:tcMar>
              <w:top w:type="dxa" w:w="120"/>
              <w:left w:type="dxa" w:w="200"/>
              <w:bottom w:type="dxa" w:w="120"/>
              <w:right w:type="dxa" w:w="200"/>
            </w:tcMar>
          </w:tcPr>
          <w:p>
            <w:pPr>
              <w:spacing w:after="60"/>
            </w:pPr>
            <w:r>
              <w:rPr>
                <w:rFonts w:ascii="Arial" w:cs="Arial" w:eastAsia="Arial" w:hAnsi="Arial"/>
                <w:b/>
                <w:bCs/>
                <w:color w:val="6d28d9"/>
                <w:spacing w:val="40"/>
                <w:sz w:val="16"/>
                <w:szCs w:val="16"/>
              </w:rPr>
              <w:t xml:space="preserve">◉  CASE STUDY  —  THE MMR VACCINE AND THE WAKEFIELD PAPER</w:t>
            </w:r>
          </w:p>
          <w:p>
            <w:pPr>
              <w:spacing w:after="80"/>
            </w:pPr>
            <w:r>
              <w:rPr>
                <w:rFonts w:ascii="Arial" w:cs="Arial" w:eastAsia="Arial" w:hAnsi="Arial"/>
                <w:i/>
                <w:iCs/>
                <w:color w:val="3b0764"/>
                <w:sz w:val="20"/>
                <w:szCs w:val="20"/>
              </w:rPr>
              <w:t xml:space="preserve">In 1998, Andrew Wakefield published a paper in The Lancet claiming a link between the MMR vaccine and autism. The paper was based on just 12 cases, later found to be selectively reported. Wakefield had undisclosed financial conflicts of interest. The Lancet retracted the paper in 2010 and Wakefield lost his medical licence. Despite retraction, the antivax movement that grew from the paper continues today.</w:t>
            </w:r>
          </w:p>
          <w:p>
            <w:pPr>
              <w:spacing w:after="40"/>
            </w:pPr>
            <w:r>
              <w:rPr>
                <w:rFonts w:ascii="Arial" w:cs="Arial" w:eastAsia="Arial" w:hAnsi="Arial"/>
                <w:b/>
                <w:bCs/>
                <w:color w:val="3b0764"/>
                <w:sz w:val="20"/>
                <w:szCs w:val="20"/>
              </w:rPr>
              <w:t xml:space="preserve">Your tasks:</w:t>
            </w:r>
          </w:p>
          <w:p>
            <w:pPr>
              <w:spacing w:after="40" w:before="40"/>
              <w:ind w:left="240"/>
            </w:pPr>
            <w:r>
              <w:rPr>
                <w:rFonts w:ascii="Arial" w:cs="Arial" w:eastAsia="Arial" w:hAnsi="Arial"/>
                <w:color w:val="3b0764"/>
                <w:sz w:val="20"/>
                <w:szCs w:val="20"/>
              </w:rPr>
              <w:t xml:space="preserve">1.  Which FLICC hallmarks can you identify in how the antivax movement uses this case?</w:t>
            </w:r>
          </w:p>
          <w:p>
            <w:pPr>
              <w:spacing w:after="40" w:before="40"/>
              <w:ind w:left="240"/>
            </w:pPr>
            <w:r>
              <w:rPr>
                <w:rFonts w:ascii="Arial" w:cs="Arial" w:eastAsia="Arial" w:hAnsi="Arial"/>
                <w:color w:val="3b0764"/>
                <w:sz w:val="20"/>
                <w:szCs w:val="20"/>
              </w:rPr>
              <w:t xml:space="preserve">2.  Oreskes's 2004 paper showed zero peer-reviewed papers rejecting climate consensus. How might a similar analysis apply to vaccine safety research?</w:t>
            </w:r>
          </w:p>
          <w:p>
            <w:pPr>
              <w:spacing w:after="40" w:before="40"/>
              <w:ind w:left="240"/>
            </w:pPr>
            <w:r>
              <w:rPr>
                <w:rFonts w:ascii="Arial" w:cs="Arial" w:eastAsia="Arial" w:hAnsi="Arial"/>
                <w:color w:val="3b0764"/>
                <w:sz w:val="20"/>
                <w:szCs w:val="20"/>
              </w:rPr>
              <w:t xml:space="preserve">3.  Why do you think the retraction of the Wakefield paper failed to end the antivax movement? What does this suggest about the limits of factual correction?</w:t>
            </w:r>
          </w:p>
        </w:tc>
      </w:tr>
    </w:tbl>
    <w:p>
      <w:pPr>
        <w:spacing w:after="0" w:before="120"/>
      </w:pPr>
      <w:r>
        <w:t xml:space="preserve"/>
      </w:r>
    </w:p>
    <w:p>
      <w:pPr>
        <w:spacing w:after="80" w:before="240"/>
      </w:pPr>
      <w:r>
        <w:rPr>
          <w:rFonts w:ascii="Arial" w:cs="Arial" w:eastAsia="Arial" w:hAnsi="Arial"/>
          <w:b/>
          <w:bCs/>
          <w:color w:val="0f2642"/>
          <w:spacing w:val="40"/>
          <w:sz w:val="18"/>
          <w:szCs w:val="18"/>
        </w:rPr>
        <w:t xml:space="preserve">◆  KNOWLEDGE CHECK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f2642" w:sz="12"/>
              <w:bottom w:val="single" w:color="cccccc" w:sz="1"/>
              <w:right w:val="none" w:color="ffffff" w:sz="0"/>
            </w:tcBorders>
            <w:shd w:fill="f2f2f2" w:val="clear"/>
            <w:tcMar>
              <w:top w:type="dxa" w:w="120"/>
              <w:left w:type="dxa" w:w="200"/>
              <w:bottom w:type="dxa" w:w="120"/>
              <w:right w:type="dxa" w:w="200"/>
            </w:tcMar>
          </w:tcPr>
          <w:p>
            <w:pPr>
              <w:spacing w:after="80"/>
            </w:pPr>
            <w:r>
              <w:rPr>
                <w:rFonts w:ascii="Arial" w:cs="Arial" w:eastAsia="Arial" w:hAnsi="Arial"/>
                <w:b/>
                <w:bCs/>
                <w:color w:val="0f2642"/>
                <w:spacing w:val="40"/>
                <w:sz w:val="16"/>
                <w:szCs w:val="16"/>
              </w:rPr>
              <w:t xml:space="preserve">?  KNOWLEDGE CHECK</w:t>
            </w:r>
          </w:p>
          <w:p>
            <w:pPr>
              <w:spacing w:after="20" w:before="80"/>
            </w:pPr>
            <w:r>
              <w:rPr>
                <w:rFonts w:ascii="Arial" w:cs="Arial" w:eastAsia="Arial" w:hAnsi="Arial"/>
                <w:b/>
                <w:bCs/>
                <w:color w:val="1a3a5c"/>
                <w:sz w:val="20"/>
                <w:szCs w:val="20"/>
              </w:rPr>
              <w:t xml:space="preserve">1.  Which of the following is a hallmark of science denial rather than legitimate scepticism?</w:t>
            </w:r>
          </w:p>
          <w:p>
            <w:pPr>
              <w:spacing w:after="0" w:before="20"/>
              <w:ind w:left="240"/>
            </w:pPr>
            <w:r>
              <w:rPr>
                <w:rFonts w:ascii="Arial" w:cs="Arial" w:eastAsia="Arial" w:hAnsi="Arial"/>
                <w:color w:val="555555"/>
                <w:sz w:val="20"/>
                <w:szCs w:val="20"/>
              </w:rPr>
              <w:t xml:space="preserve">○  A. Demanding replication of surprising findings</w:t>
            </w:r>
          </w:p>
          <w:p>
            <w:pPr>
              <w:spacing w:after="0" w:before="20"/>
              <w:ind w:left="240"/>
            </w:pPr>
            <w:r>
              <w:rPr>
                <w:rFonts w:ascii="Arial" w:cs="Arial" w:eastAsia="Arial" w:hAnsi="Arial"/>
                <w:color w:val="555555"/>
                <w:sz w:val="20"/>
                <w:szCs w:val="20"/>
              </w:rPr>
              <w:t xml:space="preserve">○  B. Following evidence even when it contradicts prior beliefs</w:t>
            </w:r>
          </w:p>
          <w:p>
            <w:pPr>
              <w:spacing w:after="0" w:before="20"/>
              <w:ind w:left="240"/>
            </w:pPr>
            <w:r>
              <w:rPr>
                <w:rFonts w:ascii="Arial" w:cs="Arial" w:eastAsia="Arial" w:hAnsi="Arial"/>
                <w:color w:val="555555"/>
                <w:sz w:val="20"/>
                <w:szCs w:val="20"/>
              </w:rPr>
              <w:t xml:space="preserve">○  C. Starting with a conclusion and seeking supporting evidence only</w:t>
            </w:r>
          </w:p>
          <w:p>
            <w:pPr>
              <w:spacing w:after="0" w:before="20"/>
              <w:ind w:left="240"/>
            </w:pPr>
            <w:r>
              <w:rPr>
                <w:rFonts w:ascii="Arial" w:cs="Arial" w:eastAsia="Arial" w:hAnsi="Arial"/>
                <w:color w:val="555555"/>
                <w:sz w:val="20"/>
                <w:szCs w:val="20"/>
              </w:rPr>
              <w:t xml:space="preserve">○  D. Applying peer review to new claims</w:t>
            </w:r>
          </w:p>
          <w:p>
            <w:pPr>
              <w:spacing w:after="20" w:before="80"/>
            </w:pPr>
            <w:r>
              <w:rPr>
                <w:rFonts w:ascii="Arial" w:cs="Arial" w:eastAsia="Arial" w:hAnsi="Arial"/>
                <w:b/>
                <w:bCs/>
                <w:color w:val="1a3a5c"/>
                <w:sz w:val="20"/>
                <w:szCs w:val="20"/>
              </w:rPr>
              <w:t xml:space="preserve">2.  What did Oreskes (2004) find when she reviewed 928 peer-reviewed climate science abstracts?</w:t>
            </w:r>
          </w:p>
          <w:p>
            <w:pPr>
              <w:spacing w:after="0" w:before="20"/>
              <w:ind w:left="240"/>
            </w:pPr>
            <w:r>
              <w:rPr>
                <w:rFonts w:ascii="Arial" w:cs="Arial" w:eastAsia="Arial" w:hAnsi="Arial"/>
                <w:color w:val="555555"/>
                <w:sz w:val="20"/>
                <w:szCs w:val="20"/>
              </w:rPr>
              <w:t xml:space="preserve">○  A. Equal numbers of papers for and against the consensus</w:t>
            </w:r>
          </w:p>
          <w:p>
            <w:pPr>
              <w:spacing w:after="0" w:before="20"/>
              <w:ind w:left="240"/>
            </w:pPr>
            <w:r>
              <w:rPr>
                <w:rFonts w:ascii="Arial" w:cs="Arial" w:eastAsia="Arial" w:hAnsi="Arial"/>
                <w:color w:val="555555"/>
                <w:sz w:val="20"/>
                <w:szCs w:val="20"/>
              </w:rPr>
              <w:t xml:space="preserve">○  B. Zero papers explicitly rejecting the consensus position</w:t>
            </w:r>
          </w:p>
          <w:p>
            <w:pPr>
              <w:spacing w:after="0" w:before="20"/>
              <w:ind w:left="240"/>
            </w:pPr>
            <w:r>
              <w:rPr>
                <w:rFonts w:ascii="Arial" w:cs="Arial" w:eastAsia="Arial" w:hAnsi="Arial"/>
                <w:color w:val="555555"/>
                <w:sz w:val="20"/>
                <w:szCs w:val="20"/>
              </w:rPr>
              <w:t xml:space="preserve">○  C. Significant evidence of publication bias</w:t>
            </w:r>
          </w:p>
          <w:p>
            <w:pPr>
              <w:spacing w:after="0" w:before="20"/>
              <w:ind w:left="240"/>
            </w:pPr>
            <w:r>
              <w:rPr>
                <w:rFonts w:ascii="Arial" w:cs="Arial" w:eastAsia="Arial" w:hAnsi="Arial"/>
                <w:color w:val="555555"/>
                <w:sz w:val="20"/>
                <w:szCs w:val="20"/>
              </w:rPr>
              <w:t xml:space="preserve">○  D. That most papers were inconclusive on human causation</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3a5c"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UNIT 2  ·  Weeks 3–4</w:t>
            </w:r>
          </w:p>
          <w:p>
            <w:r>
              <w:rPr>
                <w:rFonts w:ascii="Arial" w:cs="Arial" w:eastAsia="Arial" w:hAnsi="Arial"/>
                <w:b/>
                <w:bCs/>
                <w:color w:val="ffffff"/>
                <w:sz w:val="28"/>
                <w:szCs w:val="28"/>
              </w:rPr>
              <w:t xml:space="preserve">Historical Roots of Science Denial</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LESSON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The modern science denial playbook originated in the tobacco industry in the 1950s. Faced with evidence linking smoking to lung cancer, industry executives chose to manufacture doubt rather than change their product.</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The core tobacco strategy — 'doubt is our product' — has been deployed across acid rain, the ozone hole, leaded gasoline, and climate change by overlapping networks of scientists, PR firms, and think tanks.</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Oreskes and Conway (Merchants of Doubt) documented that the same small group of scientists appeared across multiple denial campaigns over decades, serving as credentialled spokespersons for manufactured uncertainty.</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Think tanks play a key institutional role in science denial — producing policy documents and commentary designed to appear scientific while serving advocacy functions, without genuine peer review.</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The ozone case demonstrates that organised denial can delay but not ultimately prevent policy response when scientific consensus is strong and evidence continues to accumulate.</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3fb" w:val="clear"/>
            <w:tcMar>
              <w:top w:type="dxa" w:w="120"/>
              <w:left w:type="dxa" w:w="200"/>
              <w:bottom w:type="dxa" w:w="120"/>
              <w:right w:type="dxa" w:w="200"/>
            </w:tcMar>
          </w:tcPr>
          <w:p>
            <w:pPr>
              <w:spacing w:after="60"/>
            </w:pPr>
            <w:r>
              <w:rPr>
                <w:rFonts w:ascii="Arial" w:cs="Arial" w:eastAsia="Arial" w:hAnsi="Arial"/>
                <w:b/>
                <w:bCs/>
                <w:color w:val="2563a8"/>
                <w:spacing w:val="40"/>
                <w:sz w:val="16"/>
                <w:szCs w:val="16"/>
              </w:rPr>
              <w:t xml:space="preserve">KEY CONCEPT  —  The Tobacco Strategy</w:t>
            </w:r>
          </w:p>
          <w:p>
            <w:r>
              <w:rPr>
                <w:rFonts w:ascii="Arial" w:cs="Arial" w:eastAsia="Arial" w:hAnsi="Arial"/>
                <w:i/>
                <w:iCs/>
                <w:color w:val="1a3a5c"/>
                <w:sz w:val="20"/>
                <w:szCs w:val="20"/>
              </w:rPr>
              <w:t xml:space="preserve">'Doubt is our product, since it is the best means of competing with the body of fact that exists in the minds of the general public.' — Brown &amp; Williamson internal memo, 1969. The goal is not to win the scientific debate but to prevent it from mattering politically.</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KEY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Term</w:t>
            </w:r>
          </w:p>
        </w:tc>
        <w:tc>
          <w:tcPr>
            <w:tcW w:type="dxa" w:w="6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My definition (in my own words)</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Agnotology</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Doubt-manufacturing</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Think tank capture</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Dark money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Astroturfing</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Regulatory capture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p>
      <w:pPr>
        <w:spacing w:after="80" w:before="240"/>
      </w:pPr>
      <w:r>
        <w:rPr>
          <w:rFonts w:ascii="Arial" w:cs="Arial" w:eastAsia="Arial" w:hAnsi="Arial"/>
          <w:b/>
          <w:bCs/>
          <w:color w:val="92400e"/>
          <w:spacing w:val="40"/>
          <w:sz w:val="18"/>
          <w:szCs w:val="18"/>
        </w:rPr>
        <w:t xml:space="preserve">◆  REFLECTION QUESTIONS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The tobacco strategy was explicitly designed to exploit journalistic norms of balance. Can you think of a current science communication issue where this strategy appears to be operating? What evidence leads you to that conclusion?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Oreskes and Conway found that the same individuals appeared across multiple denial campaigns. What does this pattern of organised, coordinated denial suggest about how we should respond — individually and institutionally?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120"/>
      </w:pPr>
      <w:r>
        <w:t xml:space="preserve"/>
      </w:r>
    </w:p>
    <w:p>
      <w:pPr>
        <w:spacing w:after="80" w:before="240"/>
      </w:pPr>
      <w:r>
        <w:rPr>
          <w:rFonts w:ascii="Arial" w:cs="Arial" w:eastAsia="Arial" w:hAnsi="Arial"/>
          <w:b/>
          <w:bCs/>
          <w:color w:val="0e7490"/>
          <w:spacing w:val="40"/>
          <w:sz w:val="18"/>
          <w:szCs w:val="18"/>
        </w:rPr>
        <w:t xml:space="preserve">◆  ACTIVITY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0f2f7" w:val="clear"/>
            <w:tcMar>
              <w:top w:type="dxa" w:w="120"/>
              <w:left w:type="dxa" w:w="200"/>
              <w:bottom w:type="dxa" w:w="120"/>
              <w:right w:type="dxa" w:w="200"/>
            </w:tcMar>
          </w:tcPr>
          <w:p>
            <w:pPr>
              <w:spacing w:after="60"/>
            </w:pPr>
            <w:r>
              <w:rPr>
                <w:rFonts w:ascii="Arial" w:cs="Arial" w:eastAsia="Arial" w:hAnsi="Arial"/>
                <w:b/>
                <w:bCs/>
                <w:color w:val="0e7490"/>
                <w:spacing w:val="40"/>
                <w:sz w:val="16"/>
                <w:szCs w:val="16"/>
              </w:rPr>
              <w:t xml:space="preserve">✦  ACTIVITY  —  MAPPING THE DENIAL NETWORK</w:t>
            </w:r>
          </w:p>
          <w:p>
            <w:pPr>
              <w:spacing w:after="80"/>
            </w:pPr>
            <w:r>
              <w:rPr>
                <w:rFonts w:ascii="Arial" w:cs="Arial" w:eastAsia="Arial" w:hAnsi="Arial"/>
                <w:color w:val="134e4a"/>
                <w:sz w:val="20"/>
                <w:szCs w:val="20"/>
              </w:rPr>
              <w:t xml:space="preserve">Using the Merchants of Doubt framework, map the key actors in one contemporary science denial campaign of your choice (e.g. climate, vaccines, GMOs). Your map should identify the following roles:</w:t>
            </w:r>
          </w:p>
          <w:p>
            <w:pPr>
              <w:spacing w:after="40" w:before="40"/>
              <w:ind w:left="240"/>
            </w:pPr>
            <w:r>
              <w:rPr>
                <w:rFonts w:ascii="Arial" w:cs="Arial" w:eastAsia="Arial" w:hAnsi="Arial"/>
                <w:color w:val="134e4a"/>
                <w:sz w:val="20"/>
                <w:szCs w:val="20"/>
              </w:rPr>
              <w:t xml:space="preserve">1.  The 'merchant' scientists — credentialled individuals who dispute the consensus</w:t>
            </w:r>
          </w:p>
          <w:p>
            <w:pPr>
              <w:spacing w:after="40" w:before="40"/>
              <w:ind w:left="240"/>
            </w:pPr>
            <w:r>
              <w:rPr>
                <w:rFonts w:ascii="Arial" w:cs="Arial" w:eastAsia="Arial" w:hAnsi="Arial"/>
                <w:color w:val="134e4a"/>
                <w:sz w:val="20"/>
                <w:szCs w:val="20"/>
              </w:rPr>
              <w:t xml:space="preserve">2.  The funding organisations — think tanks, industry bodies, or foundations</w:t>
            </w:r>
          </w:p>
          <w:p>
            <w:pPr>
              <w:spacing w:after="40" w:before="40"/>
              <w:ind w:left="240"/>
            </w:pPr>
            <w:r>
              <w:rPr>
                <w:rFonts w:ascii="Arial" w:cs="Arial" w:eastAsia="Arial" w:hAnsi="Arial"/>
                <w:color w:val="134e4a"/>
                <w:sz w:val="20"/>
                <w:szCs w:val="20"/>
              </w:rPr>
              <w:t xml:space="preserve">3.  The media amplifiers — outlets or platforms that spread the doubt</w:t>
            </w:r>
          </w:p>
          <w:p>
            <w:pPr>
              <w:spacing w:after="40" w:before="40"/>
              <w:ind w:left="240"/>
            </w:pPr>
            <w:r>
              <w:rPr>
                <w:rFonts w:ascii="Arial" w:cs="Arial" w:eastAsia="Arial" w:hAnsi="Arial"/>
                <w:color w:val="134e4a"/>
                <w:sz w:val="20"/>
                <w:szCs w:val="20"/>
              </w:rPr>
              <w:t xml:space="preserve">4.  The political allies — policymakers or organisations who benefit from the doubt</w:t>
            </w:r>
          </w:p>
        </w:tc>
      </w:tr>
    </w:tbl>
    <w:p>
      <w:pPr>
        <w:spacing w:after="0" w:before="80"/>
      </w:pPr>
      <w:r>
        <w:t xml:space="preserve"/>
      </w:r>
    </w:p>
    <w:p>
      <w:pPr>
        <w:spacing w:after="40" w:before="40"/>
      </w:pPr>
      <w:r>
        <w:rPr>
          <w:rFonts w:ascii="Arial" w:cs="Arial" w:eastAsia="Arial" w:hAnsi="Arial"/>
          <w:color w:val="555555"/>
          <w:sz w:val="20"/>
          <w:szCs w:val="20"/>
        </w:rPr>
        <w:t xml:space="preserve">Use the space below to sketch your network map: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9fe" w:val="clear"/>
            <w:tcMar>
              <w:top w:type="dxa" w:w="120"/>
              <w:left w:type="dxa" w:w="200"/>
              <w:bottom w:type="dxa" w:w="120"/>
              <w:right w:type="dxa" w:w="200"/>
            </w:tcMar>
          </w:tcPr>
          <w:p>
            <w:pPr>
              <w:spacing w:after="60"/>
            </w:pPr>
            <w:r>
              <w:rPr>
                <w:rFonts w:ascii="Arial" w:cs="Arial" w:eastAsia="Arial" w:hAnsi="Arial"/>
                <w:b/>
                <w:bCs/>
                <w:color w:val="6d28d9"/>
                <w:spacing w:val="40"/>
                <w:sz w:val="16"/>
                <w:szCs w:val="16"/>
              </w:rPr>
              <w:t xml:space="preserve">◉  CASE STUDY  —  THE CLIMATE DENIAL MACHINE</w:t>
            </w:r>
          </w:p>
          <w:p>
            <w:pPr>
              <w:spacing w:after="80"/>
            </w:pPr>
            <w:r>
              <w:rPr>
                <w:rFonts w:ascii="Arial" w:cs="Arial" w:eastAsia="Arial" w:hAnsi="Arial"/>
                <w:i/>
                <w:iCs/>
                <w:color w:val="3b0764"/>
                <w:sz w:val="20"/>
                <w:szCs w:val="20"/>
              </w:rPr>
              <w:t xml:space="preserve">Documents released through litigation and investigative journalism reveal that ExxonMobil's own scientists confirmed the climate science consensus internally by the 1970s and 80s. Externally, the company funded a network of think tanks and advocacy groups to dispute that consensus for decades. A 2017 Harvard study documented the divergence between Exxon's internal and external communications on climate science.</w:t>
            </w:r>
          </w:p>
          <w:p>
            <w:pPr>
              <w:spacing w:after="40"/>
            </w:pPr>
            <w:r>
              <w:rPr>
                <w:rFonts w:ascii="Arial" w:cs="Arial" w:eastAsia="Arial" w:hAnsi="Arial"/>
                <w:b/>
                <w:bCs/>
                <w:color w:val="3b0764"/>
                <w:sz w:val="20"/>
                <w:szCs w:val="20"/>
              </w:rPr>
              <w:t xml:space="preserve">Your tasks:</w:t>
            </w:r>
          </w:p>
          <w:p>
            <w:pPr>
              <w:spacing w:after="40" w:before="40"/>
              <w:ind w:left="240"/>
            </w:pPr>
            <w:r>
              <w:rPr>
                <w:rFonts w:ascii="Arial" w:cs="Arial" w:eastAsia="Arial" w:hAnsi="Arial"/>
                <w:color w:val="3b0764"/>
                <w:sz w:val="20"/>
                <w:szCs w:val="20"/>
              </w:rPr>
              <w:t xml:space="preserve">1.  How does the Exxon case fit the tobacco strategy template identified by Oreskes and Conway?</w:t>
            </w:r>
          </w:p>
          <w:p>
            <w:pPr>
              <w:spacing w:after="40" w:before="40"/>
              <w:ind w:left="240"/>
            </w:pPr>
            <w:r>
              <w:rPr>
                <w:rFonts w:ascii="Arial" w:cs="Arial" w:eastAsia="Arial" w:hAnsi="Arial"/>
                <w:color w:val="3b0764"/>
                <w:sz w:val="20"/>
                <w:szCs w:val="20"/>
              </w:rPr>
              <w:t xml:space="preserve">2.  What distinguishes a 'think tank' engaged in science denial from a legitimate policy research organisation? Identify at least three distinguishing features.</w:t>
            </w:r>
          </w:p>
          <w:p>
            <w:pPr>
              <w:spacing w:after="40" w:before="40"/>
              <w:ind w:left="240"/>
            </w:pPr>
            <w:r>
              <w:rPr>
                <w:rFonts w:ascii="Arial" w:cs="Arial" w:eastAsia="Arial" w:hAnsi="Arial"/>
                <w:color w:val="3b0764"/>
                <w:sz w:val="20"/>
                <w:szCs w:val="20"/>
              </w:rPr>
              <w:t xml:space="preserve">3.  If you were a science communicator tasked with responding to industry-funded doubt-manufacturing, what strategies would you prioritise and why?</w:t>
            </w:r>
          </w:p>
        </w:tc>
      </w:tr>
    </w:tbl>
    <w:p>
      <w:pPr>
        <w:spacing w:after="0" w:before="120"/>
      </w:pPr>
      <w:r>
        <w:t xml:space="preserve"/>
      </w:r>
    </w:p>
    <w:p>
      <w:pPr>
        <w:spacing w:after="80" w:before="240"/>
      </w:pPr>
      <w:r>
        <w:rPr>
          <w:rFonts w:ascii="Arial" w:cs="Arial" w:eastAsia="Arial" w:hAnsi="Arial"/>
          <w:b/>
          <w:bCs/>
          <w:color w:val="0f2642"/>
          <w:spacing w:val="40"/>
          <w:sz w:val="18"/>
          <w:szCs w:val="18"/>
        </w:rPr>
        <w:t xml:space="preserve">◆  KNOWLEDGE CHECK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f2642" w:sz="12"/>
              <w:bottom w:val="single" w:color="cccccc" w:sz="1"/>
              <w:right w:val="none" w:color="ffffff" w:sz="0"/>
            </w:tcBorders>
            <w:shd w:fill="f2f2f2" w:val="clear"/>
            <w:tcMar>
              <w:top w:type="dxa" w:w="120"/>
              <w:left w:type="dxa" w:w="200"/>
              <w:bottom w:type="dxa" w:w="120"/>
              <w:right w:type="dxa" w:w="200"/>
            </w:tcMar>
          </w:tcPr>
          <w:p>
            <w:pPr>
              <w:spacing w:after="80"/>
            </w:pPr>
            <w:r>
              <w:rPr>
                <w:rFonts w:ascii="Arial" w:cs="Arial" w:eastAsia="Arial" w:hAnsi="Arial"/>
                <w:b/>
                <w:bCs/>
                <w:color w:val="0f2642"/>
                <w:spacing w:val="40"/>
                <w:sz w:val="16"/>
                <w:szCs w:val="16"/>
              </w:rPr>
              <w:t xml:space="preserve">?  KNOWLEDGE CHECK</w:t>
            </w:r>
          </w:p>
          <w:p>
            <w:pPr>
              <w:spacing w:after="20" w:before="80"/>
            </w:pPr>
            <w:r>
              <w:rPr>
                <w:rFonts w:ascii="Arial" w:cs="Arial" w:eastAsia="Arial" w:hAnsi="Arial"/>
                <w:b/>
                <w:bCs/>
                <w:color w:val="1a3a5c"/>
                <w:sz w:val="20"/>
                <w:szCs w:val="20"/>
              </w:rPr>
              <w:t xml:space="preserve">1.  The goal of the tobacco industry's 'doubt strategy' was to:</w:t>
            </w:r>
          </w:p>
          <w:p>
            <w:pPr>
              <w:spacing w:after="0" w:before="20"/>
              <w:ind w:left="240"/>
            </w:pPr>
            <w:r>
              <w:rPr>
                <w:rFonts w:ascii="Arial" w:cs="Arial" w:eastAsia="Arial" w:hAnsi="Arial"/>
                <w:color w:val="555555"/>
                <w:sz w:val="20"/>
                <w:szCs w:val="20"/>
              </w:rPr>
              <w:t xml:space="preserve">○  A. Disprove the scientific link between smoking and cancer</w:t>
            </w:r>
          </w:p>
          <w:p>
            <w:pPr>
              <w:spacing w:after="0" w:before="20"/>
              <w:ind w:left="240"/>
            </w:pPr>
            <w:r>
              <w:rPr>
                <w:rFonts w:ascii="Arial" w:cs="Arial" w:eastAsia="Arial" w:hAnsi="Arial"/>
                <w:color w:val="555555"/>
                <w:sz w:val="20"/>
                <w:szCs w:val="20"/>
              </w:rPr>
              <w:t xml:space="preserve">○  B. Create the appearance of scientific uncertainty to delay regulation</w:t>
            </w:r>
          </w:p>
          <w:p>
            <w:pPr>
              <w:spacing w:after="0" w:before="20"/>
              <w:ind w:left="240"/>
            </w:pPr>
            <w:r>
              <w:rPr>
                <w:rFonts w:ascii="Arial" w:cs="Arial" w:eastAsia="Arial" w:hAnsi="Arial"/>
                <w:color w:val="555555"/>
                <w:sz w:val="20"/>
                <w:szCs w:val="20"/>
              </w:rPr>
              <w:t xml:space="preserve">○  C. Fund independent research that would exonerate tobacco</w:t>
            </w:r>
          </w:p>
          <w:p>
            <w:pPr>
              <w:spacing w:after="0" w:before="20"/>
              <w:ind w:left="240"/>
            </w:pPr>
            <w:r>
              <w:rPr>
                <w:rFonts w:ascii="Arial" w:cs="Arial" w:eastAsia="Arial" w:hAnsi="Arial"/>
                <w:color w:val="555555"/>
                <w:sz w:val="20"/>
                <w:szCs w:val="20"/>
              </w:rPr>
              <w:t xml:space="preserve">○  D. Persuade scientists to change their conclusions</w:t>
            </w:r>
          </w:p>
          <w:p>
            <w:pPr>
              <w:spacing w:after="20" w:before="80"/>
            </w:pPr>
            <w:r>
              <w:rPr>
                <w:rFonts w:ascii="Arial" w:cs="Arial" w:eastAsia="Arial" w:hAnsi="Arial"/>
                <w:b/>
                <w:bCs/>
                <w:color w:val="1a3a5c"/>
                <w:sz w:val="20"/>
                <w:szCs w:val="20"/>
              </w:rPr>
              <w:t xml:space="preserve">2.  What distinguishes a denial-oriented think tank from a genuine scientific organisation?</w:t>
            </w:r>
          </w:p>
          <w:p>
            <w:pPr>
              <w:spacing w:after="0" w:before="20"/>
              <w:ind w:left="240"/>
            </w:pPr>
            <w:r>
              <w:rPr>
                <w:rFonts w:ascii="Arial" w:cs="Arial" w:eastAsia="Arial" w:hAnsi="Arial"/>
                <w:color w:val="555555"/>
                <w:sz w:val="20"/>
                <w:szCs w:val="20"/>
              </w:rPr>
              <w:t xml:space="preserve">○  A. Think tanks employ credentialled scientists; scientific organisations do not</w:t>
            </w:r>
          </w:p>
          <w:p>
            <w:pPr>
              <w:spacing w:after="0" w:before="20"/>
              <w:ind w:left="240"/>
            </w:pPr>
            <w:r>
              <w:rPr>
                <w:rFonts w:ascii="Arial" w:cs="Arial" w:eastAsia="Arial" w:hAnsi="Arial"/>
                <w:color w:val="555555"/>
                <w:sz w:val="20"/>
                <w:szCs w:val="20"/>
              </w:rPr>
              <w:t xml:space="preserve">○  B. Think tanks use peer review; scientific organisations do not</w:t>
            </w:r>
          </w:p>
          <w:p>
            <w:pPr>
              <w:spacing w:after="0" w:before="20"/>
              <w:ind w:left="240"/>
            </w:pPr>
            <w:r>
              <w:rPr>
                <w:rFonts w:ascii="Arial" w:cs="Arial" w:eastAsia="Arial" w:hAnsi="Arial"/>
                <w:color w:val="555555"/>
                <w:sz w:val="20"/>
                <w:szCs w:val="20"/>
              </w:rPr>
              <w:t xml:space="preserve">○  C. Think tanks produce advocacy content formatted to appear scientific without genuine peer review</w:t>
            </w:r>
          </w:p>
          <w:p>
            <w:pPr>
              <w:spacing w:after="0" w:before="20"/>
              <w:ind w:left="240"/>
            </w:pPr>
            <w:r>
              <w:rPr>
                <w:rFonts w:ascii="Arial" w:cs="Arial" w:eastAsia="Arial" w:hAnsi="Arial"/>
                <w:color w:val="555555"/>
                <w:sz w:val="20"/>
                <w:szCs w:val="20"/>
              </w:rPr>
              <w:t xml:space="preserve">○  D. Think tanks are transparent about their funding; scientific organisations are not</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2563a8"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UNIT 3  ·  Weeks 5–6</w:t>
            </w:r>
          </w:p>
          <w:p>
            <w:r>
              <w:rPr>
                <w:rFonts w:ascii="Arial" w:cs="Arial" w:eastAsia="Arial" w:hAnsi="Arial"/>
                <w:b/>
                <w:bCs/>
                <w:color w:val="ffffff"/>
                <w:sz w:val="28"/>
                <w:szCs w:val="28"/>
              </w:rPr>
              <w:t xml:space="preserve">Cognitive Psychology of Denial</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LESSON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Higher scientific literacy does not reliably reduce science denial — in politicised domains like climate change, it can actually increase polarisation. This finding (Kahan et al.) disproves the 'information deficit' model.</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Identity-protective cognition: people use their analytical abilities to defend beliefs that are central to their social identity, not to evaluate evidence objectively.</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Motivated reasoning means we apply asymmetric critical scrutiny — harder scrutiny to evidence that challenges our beliefs, softer scrutiny to evidence that supports them.</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The backfire effect (Nyhan &amp; Reifler) suggested that corrections could strengthen false beliefs; subsequent research has shown this is rarer than initially thought, but direct confrontational correction is still often ineffective.</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Kahneman's System 1 / System 2 framework helps explain why misinformation (System 1 — fast, emotional, simple) spreads more easily than corrections (System 2 — slow, analytical, nuanced).</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3fb" w:val="clear"/>
            <w:tcMar>
              <w:top w:type="dxa" w:w="120"/>
              <w:left w:type="dxa" w:w="200"/>
              <w:bottom w:type="dxa" w:w="120"/>
              <w:right w:type="dxa" w:w="200"/>
            </w:tcMar>
          </w:tcPr>
          <w:p>
            <w:pPr>
              <w:spacing w:after="60"/>
            </w:pPr>
            <w:r>
              <w:rPr>
                <w:rFonts w:ascii="Arial" w:cs="Arial" w:eastAsia="Arial" w:hAnsi="Arial"/>
                <w:b/>
                <w:bCs/>
                <w:color w:val="2563a8"/>
                <w:spacing w:val="40"/>
                <w:sz w:val="16"/>
                <w:szCs w:val="16"/>
              </w:rPr>
              <w:t xml:space="preserve">KEY CONCEPT  —  Identity-Protective Cognition</w:t>
            </w:r>
          </w:p>
          <w:p>
            <w:r>
              <w:rPr>
                <w:rFonts w:ascii="Arial" w:cs="Arial" w:eastAsia="Arial" w:hAnsi="Arial"/>
                <w:i/>
                <w:iCs/>
                <w:color w:val="1a3a5c"/>
                <w:sz w:val="20"/>
                <w:szCs w:val="20"/>
              </w:rPr>
              <w:t xml:space="preserve">Dan Kahan: people process information in ways that protect their social identity and group memberships, even at the cost of accuracy. The threat that scientific information poses is often a threat to identity, not just to factual beliefs.</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KEY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Term</w:t>
            </w:r>
          </w:p>
        </w:tc>
        <w:tc>
          <w:tcPr>
            <w:tcW w:type="dxa" w:w="6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My definition (in my own words)</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Information deficit model</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Motivated reasoning</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Identity-protective cognition</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Backfire effect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System 1 / System 2</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Cognitive dissonance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p>
      <w:pPr>
        <w:spacing w:after="80" w:before="240"/>
      </w:pPr>
      <w:r>
        <w:rPr>
          <w:rFonts w:ascii="Arial" w:cs="Arial" w:eastAsia="Arial" w:hAnsi="Arial"/>
          <w:b/>
          <w:bCs/>
          <w:color w:val="92400e"/>
          <w:spacing w:val="40"/>
          <w:sz w:val="18"/>
          <w:szCs w:val="18"/>
        </w:rPr>
        <w:t xml:space="preserve">◆  REFLECTION QUESTIONS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Think of a belief you hold that you would find difficult to revise even in the face of contrary evidence. What makes it resistant to change? Is it connected to your identity, your community, or something else?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If the information deficit model is wrong — if simply providing more information is insufficient — what does that suggest about how science communication should be redesigned? What would a more effective approach look like?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120"/>
      </w:pPr>
      <w:r>
        <w:t xml:space="preserve"/>
      </w:r>
    </w:p>
    <w:p>
      <w:pPr>
        <w:spacing w:after="80" w:before="240"/>
      </w:pPr>
      <w:r>
        <w:rPr>
          <w:rFonts w:ascii="Arial" w:cs="Arial" w:eastAsia="Arial" w:hAnsi="Arial"/>
          <w:b/>
          <w:bCs/>
          <w:color w:val="0e7490"/>
          <w:spacing w:val="40"/>
          <w:sz w:val="18"/>
          <w:szCs w:val="18"/>
        </w:rPr>
        <w:t xml:space="preserve">◆  ACTIVITY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0f2f7" w:val="clear"/>
            <w:tcMar>
              <w:top w:type="dxa" w:w="120"/>
              <w:left w:type="dxa" w:w="200"/>
              <w:bottom w:type="dxa" w:w="120"/>
              <w:right w:type="dxa" w:w="200"/>
            </w:tcMar>
          </w:tcPr>
          <w:p>
            <w:pPr>
              <w:spacing w:after="60"/>
            </w:pPr>
            <w:r>
              <w:rPr>
                <w:rFonts w:ascii="Arial" w:cs="Arial" w:eastAsia="Arial" w:hAnsi="Arial"/>
                <w:b/>
                <w:bCs/>
                <w:color w:val="0e7490"/>
                <w:spacing w:val="40"/>
                <w:sz w:val="16"/>
                <w:szCs w:val="16"/>
              </w:rPr>
              <w:t xml:space="preserve">✦  ACTIVITY  —  ARGUMENT MAPPING — WHAT WOULD CHANGE YOUR MIND?</w:t>
            </w:r>
          </w:p>
          <w:p>
            <w:pPr>
              <w:spacing w:after="80"/>
            </w:pPr>
            <w:r>
              <w:rPr>
                <w:rFonts w:ascii="Arial" w:cs="Arial" w:eastAsia="Arial" w:hAnsi="Arial"/>
                <w:color w:val="134e4a"/>
                <w:sz w:val="20"/>
                <w:szCs w:val="20"/>
              </w:rPr>
              <w:t xml:space="preserve">The question 'What evidence would change your mind?' is one of the most clarifying in science communication. For each of the following positions, write what evidence would be required to change the believer's mind — and then assess how realistic it is that such evidence could exist and be accepted.</w:t>
            </w:r>
          </w:p>
          <w:p>
            <w:pPr>
              <w:spacing w:after="40" w:before="40"/>
              <w:ind w:left="240"/>
            </w:pPr>
            <w:r>
              <w:rPr>
                <w:rFonts w:ascii="Arial" w:cs="Arial" w:eastAsia="Arial" w:hAnsi="Arial"/>
                <w:color w:val="134e4a"/>
                <w:sz w:val="20"/>
                <w:szCs w:val="20"/>
              </w:rPr>
              <w:t xml:space="preserve">1.  A committed climate denier who believes the data is manipulated by scientists</w:t>
            </w:r>
          </w:p>
          <w:p>
            <w:pPr>
              <w:spacing w:after="40" w:before="40"/>
              <w:ind w:left="240"/>
            </w:pPr>
            <w:r>
              <w:rPr>
                <w:rFonts w:ascii="Arial" w:cs="Arial" w:eastAsia="Arial" w:hAnsi="Arial"/>
                <w:color w:val="134e4a"/>
                <w:sz w:val="20"/>
                <w:szCs w:val="20"/>
              </w:rPr>
              <w:t xml:space="preserve">2.  An anti-vaccine parent who believes vaccines cause developmental disorders</w:t>
            </w:r>
          </w:p>
          <w:p>
            <w:pPr>
              <w:spacing w:after="40" w:before="40"/>
              <w:ind w:left="240"/>
            </w:pPr>
            <w:r>
              <w:rPr>
                <w:rFonts w:ascii="Arial" w:cs="Arial" w:eastAsia="Arial" w:hAnsi="Arial"/>
                <w:color w:val="134e4a"/>
                <w:sz w:val="20"/>
                <w:szCs w:val="20"/>
              </w:rPr>
              <w:t xml:space="preserve">3.  A flat-earther who believes photographs from space are CGI composites</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9fe" w:val="clear"/>
            <w:tcMar>
              <w:top w:type="dxa" w:w="120"/>
              <w:left w:type="dxa" w:w="200"/>
              <w:bottom w:type="dxa" w:w="120"/>
              <w:right w:type="dxa" w:w="200"/>
            </w:tcMar>
          </w:tcPr>
          <w:p>
            <w:pPr>
              <w:spacing w:after="60"/>
            </w:pPr>
            <w:r>
              <w:rPr>
                <w:rFonts w:ascii="Arial" w:cs="Arial" w:eastAsia="Arial" w:hAnsi="Arial"/>
                <w:b/>
                <w:bCs/>
                <w:color w:val="6d28d9"/>
                <w:spacing w:val="40"/>
                <w:sz w:val="16"/>
                <w:szCs w:val="16"/>
              </w:rPr>
              <w:t xml:space="preserve">◉  CASE STUDY  —  THE KAHAN PARADOX</w:t>
            </w:r>
          </w:p>
          <w:p>
            <w:pPr>
              <w:spacing w:after="80"/>
            </w:pPr>
            <w:r>
              <w:rPr>
                <w:rFonts w:ascii="Arial" w:cs="Arial" w:eastAsia="Arial" w:hAnsi="Arial"/>
                <w:i/>
                <w:iCs/>
                <w:color w:val="3b0764"/>
                <w:sz w:val="20"/>
                <w:szCs w:val="20"/>
              </w:rPr>
              <w:t xml:space="preserve">In a landmark study, Dan Kahan and colleagues asked participants to solve a maths problem. Some participants were told the problem related to the effectiveness of a new skin cream; others were told it related to gun control legislation. Participants who were better at maths solved the skin cream version correctly at higher rates — but for the gun control version, better maths ability actually predicted more polarised answers, with liberals and conservatives diverging further. The analytical capacity was being used to confirm prior beliefs, not to evaluate evidence.</w:t>
            </w:r>
          </w:p>
          <w:p>
            <w:pPr>
              <w:spacing w:after="40"/>
            </w:pPr>
            <w:r>
              <w:rPr>
                <w:rFonts w:ascii="Arial" w:cs="Arial" w:eastAsia="Arial" w:hAnsi="Arial"/>
                <w:b/>
                <w:bCs/>
                <w:color w:val="3b0764"/>
                <w:sz w:val="20"/>
                <w:szCs w:val="20"/>
              </w:rPr>
              <w:t xml:space="preserve">Your tasks:</w:t>
            </w:r>
          </w:p>
          <w:p>
            <w:pPr>
              <w:spacing w:after="40" w:before="40"/>
              <w:ind w:left="240"/>
            </w:pPr>
            <w:r>
              <w:rPr>
                <w:rFonts w:ascii="Arial" w:cs="Arial" w:eastAsia="Arial" w:hAnsi="Arial"/>
                <w:color w:val="3b0764"/>
                <w:sz w:val="20"/>
                <w:szCs w:val="20"/>
              </w:rPr>
              <w:t xml:space="preserve">1.  What does the Kahan paradox suggest about the relationship between intelligence and susceptibility to motivated reasoning?</w:t>
            </w:r>
          </w:p>
          <w:p>
            <w:pPr>
              <w:spacing w:after="40" w:before="40"/>
              <w:ind w:left="240"/>
            </w:pPr>
            <w:r>
              <w:rPr>
                <w:rFonts w:ascii="Arial" w:cs="Arial" w:eastAsia="Arial" w:hAnsi="Arial"/>
                <w:color w:val="3b0764"/>
                <w:sz w:val="20"/>
                <w:szCs w:val="20"/>
              </w:rPr>
              <w:t xml:space="preserve">2.  How does this finding challenge common assumptions about science education as a solution to antiscience thinking?</w:t>
            </w:r>
          </w:p>
          <w:p>
            <w:pPr>
              <w:spacing w:after="40" w:before="40"/>
              <w:ind w:left="240"/>
            </w:pPr>
            <w:r>
              <w:rPr>
                <w:rFonts w:ascii="Arial" w:cs="Arial" w:eastAsia="Arial" w:hAnsi="Arial"/>
                <w:color w:val="3b0764"/>
                <w:sz w:val="20"/>
                <w:szCs w:val="20"/>
              </w:rPr>
              <w:t xml:space="preserve">3.  If analytical capacity can be used to entrench false beliefs, what does this suggest about the design of effective educational interventions?</w:t>
            </w:r>
          </w:p>
        </w:tc>
      </w:tr>
    </w:tbl>
    <w:p>
      <w:pPr>
        <w:spacing w:after="0" w:before="120"/>
      </w:pPr>
      <w:r>
        <w:t xml:space="preserve"/>
      </w:r>
    </w:p>
    <w:p>
      <w:pPr>
        <w:spacing w:after="80" w:before="240"/>
      </w:pPr>
      <w:r>
        <w:rPr>
          <w:rFonts w:ascii="Arial" w:cs="Arial" w:eastAsia="Arial" w:hAnsi="Arial"/>
          <w:b/>
          <w:bCs/>
          <w:color w:val="0f2642"/>
          <w:spacing w:val="40"/>
          <w:sz w:val="18"/>
          <w:szCs w:val="18"/>
        </w:rPr>
        <w:t xml:space="preserve">◆  KNOWLEDGE CHECK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f2642" w:sz="12"/>
              <w:bottom w:val="single" w:color="cccccc" w:sz="1"/>
              <w:right w:val="none" w:color="ffffff" w:sz="0"/>
            </w:tcBorders>
            <w:shd w:fill="f2f2f2" w:val="clear"/>
            <w:tcMar>
              <w:top w:type="dxa" w:w="120"/>
              <w:left w:type="dxa" w:w="200"/>
              <w:bottom w:type="dxa" w:w="120"/>
              <w:right w:type="dxa" w:w="200"/>
            </w:tcMar>
          </w:tcPr>
          <w:p>
            <w:pPr>
              <w:spacing w:after="80"/>
            </w:pPr>
            <w:r>
              <w:rPr>
                <w:rFonts w:ascii="Arial" w:cs="Arial" w:eastAsia="Arial" w:hAnsi="Arial"/>
                <w:b/>
                <w:bCs/>
                <w:color w:val="0f2642"/>
                <w:spacing w:val="40"/>
                <w:sz w:val="16"/>
                <w:szCs w:val="16"/>
              </w:rPr>
              <w:t xml:space="preserve">?  KNOWLEDGE CHECK</w:t>
            </w:r>
          </w:p>
          <w:p>
            <w:pPr>
              <w:spacing w:after="20" w:before="80"/>
            </w:pPr>
            <w:r>
              <w:rPr>
                <w:rFonts w:ascii="Arial" w:cs="Arial" w:eastAsia="Arial" w:hAnsi="Arial"/>
                <w:b/>
                <w:bCs/>
                <w:color w:val="1a3a5c"/>
                <w:sz w:val="20"/>
                <w:szCs w:val="20"/>
              </w:rPr>
              <w:t xml:space="preserve">1.  The 'information deficit model' assumes that science denial is primarily caused by:</w:t>
            </w:r>
          </w:p>
          <w:p>
            <w:pPr>
              <w:spacing w:after="0" w:before="20"/>
              <w:ind w:left="240"/>
            </w:pPr>
            <w:r>
              <w:rPr>
                <w:rFonts w:ascii="Arial" w:cs="Arial" w:eastAsia="Arial" w:hAnsi="Arial"/>
                <w:color w:val="555555"/>
                <w:sz w:val="20"/>
                <w:szCs w:val="20"/>
              </w:rPr>
              <w:t xml:space="preserve">○  A. Identity threats and group membership pressures</w:t>
            </w:r>
          </w:p>
          <w:p>
            <w:pPr>
              <w:spacing w:after="0" w:before="20"/>
              <w:ind w:left="240"/>
            </w:pPr>
            <w:r>
              <w:rPr>
                <w:rFonts w:ascii="Arial" w:cs="Arial" w:eastAsia="Arial" w:hAnsi="Arial"/>
                <w:color w:val="555555"/>
                <w:sz w:val="20"/>
                <w:szCs w:val="20"/>
              </w:rPr>
              <w:t xml:space="preserve">○  B. Lack of accurate information</w:t>
            </w:r>
          </w:p>
          <w:p>
            <w:pPr>
              <w:spacing w:after="0" w:before="20"/>
              <w:ind w:left="240"/>
            </w:pPr>
            <w:r>
              <w:rPr>
                <w:rFonts w:ascii="Arial" w:cs="Arial" w:eastAsia="Arial" w:hAnsi="Arial"/>
                <w:color w:val="555555"/>
                <w:sz w:val="20"/>
                <w:szCs w:val="20"/>
              </w:rPr>
              <w:t xml:space="preserve">○  C. Industry-funded misinformation campaigns</w:t>
            </w:r>
          </w:p>
          <w:p>
            <w:pPr>
              <w:spacing w:after="0" w:before="20"/>
              <w:ind w:left="240"/>
            </w:pPr>
            <w:r>
              <w:rPr>
                <w:rFonts w:ascii="Arial" w:cs="Arial" w:eastAsia="Arial" w:hAnsi="Arial"/>
                <w:color w:val="555555"/>
                <w:sz w:val="20"/>
                <w:szCs w:val="20"/>
              </w:rPr>
              <w:t xml:space="preserve">○  D. Low general intelligence</w:t>
            </w:r>
          </w:p>
          <w:p>
            <w:pPr>
              <w:spacing w:after="20" w:before="80"/>
            </w:pPr>
            <w:r>
              <w:rPr>
                <w:rFonts w:ascii="Arial" w:cs="Arial" w:eastAsia="Arial" w:hAnsi="Arial"/>
                <w:b/>
                <w:bCs/>
                <w:color w:val="1a3a5c"/>
                <w:sz w:val="20"/>
                <w:szCs w:val="20"/>
              </w:rPr>
              <w:t xml:space="preserve">2.  Kahan's research on identity-protective cognition found that greater scientific literacy:</w:t>
            </w:r>
          </w:p>
          <w:p>
            <w:pPr>
              <w:spacing w:after="0" w:before="20"/>
              <w:ind w:left="240"/>
            </w:pPr>
            <w:r>
              <w:rPr>
                <w:rFonts w:ascii="Arial" w:cs="Arial" w:eastAsia="Arial" w:hAnsi="Arial"/>
                <w:color w:val="555555"/>
                <w:sz w:val="20"/>
                <w:szCs w:val="20"/>
              </w:rPr>
              <w:t xml:space="preserve">○  A. Consistently reduces science denial across all topics</w:t>
            </w:r>
          </w:p>
          <w:p>
            <w:pPr>
              <w:spacing w:after="0" w:before="20"/>
              <w:ind w:left="240"/>
            </w:pPr>
            <w:r>
              <w:rPr>
                <w:rFonts w:ascii="Arial" w:cs="Arial" w:eastAsia="Arial" w:hAnsi="Arial"/>
                <w:color w:val="555555"/>
                <w:sz w:val="20"/>
                <w:szCs w:val="20"/>
              </w:rPr>
              <w:t xml:space="preserve">○  B. Has no measurable effect on science-related beliefs</w:t>
            </w:r>
          </w:p>
          <w:p>
            <w:pPr>
              <w:spacing w:after="0" w:before="20"/>
              <w:ind w:left="240"/>
            </w:pPr>
            <w:r>
              <w:rPr>
                <w:rFonts w:ascii="Arial" w:cs="Arial" w:eastAsia="Arial" w:hAnsi="Arial"/>
                <w:color w:val="555555"/>
                <w:sz w:val="20"/>
                <w:szCs w:val="20"/>
              </w:rPr>
              <w:t xml:space="preserve">○  C. Increases polarisation on politically charged topics</w:t>
            </w:r>
          </w:p>
          <w:p>
            <w:pPr>
              <w:spacing w:after="0" w:before="20"/>
              <w:ind w:left="240"/>
            </w:pPr>
            <w:r>
              <w:rPr>
                <w:rFonts w:ascii="Arial" w:cs="Arial" w:eastAsia="Arial" w:hAnsi="Arial"/>
                <w:color w:val="555555"/>
                <w:sz w:val="20"/>
                <w:szCs w:val="20"/>
              </w:rPr>
              <w:t xml:space="preserve">○  D. Increases trust in scientific institutions</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0e7490"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UNIT 4  ·  Weeks 7–8</w:t>
            </w:r>
          </w:p>
          <w:p>
            <w:r>
              <w:rPr>
                <w:rFonts w:ascii="Arial" w:cs="Arial" w:eastAsia="Arial" w:hAnsi="Arial"/>
                <w:b/>
                <w:bCs/>
                <w:color w:val="ffffff"/>
                <w:sz w:val="28"/>
                <w:szCs w:val="28"/>
              </w:rPr>
              <w:t xml:space="preserve">Media, Misinformation &amp; Digital Ecosystems</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LESSON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False balance journalism gives equal weight to minority and consensus scientific positions, creating the misleading impression of genuine scientific controversy — a norm deliberately exploited by denial movements.</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Benkler et al.'s Network Propaganda found asymmetric misinformation flow: structured misinformation ecosystems on one side vs. more mainstream-constrained discourse on the other.</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Vosoughi et al. (2018) found that false news spreads faster, further, and to more people than true news — and this effect is driven by humans, not bots, with novelty and emotional arousal as key drivers.</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Algorithmic amplification: social media recommendation systems optimise for engagement, which correlates with emotional arousal, structurally advantaging misinformation over accurate information.</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Wardle and Derakhshan's framework distinguishes misinformation (false, no harmful intent), disinformation (false, harmful intent), and malinformation (true, used harmfully).</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3fb" w:val="clear"/>
            <w:tcMar>
              <w:top w:type="dxa" w:w="120"/>
              <w:left w:type="dxa" w:w="200"/>
              <w:bottom w:type="dxa" w:w="120"/>
              <w:right w:type="dxa" w:w="200"/>
            </w:tcMar>
          </w:tcPr>
          <w:p>
            <w:pPr>
              <w:spacing w:after="60"/>
            </w:pPr>
            <w:r>
              <w:rPr>
                <w:rFonts w:ascii="Arial" w:cs="Arial" w:eastAsia="Arial" w:hAnsi="Arial"/>
                <w:b/>
                <w:bCs/>
                <w:color w:val="2563a8"/>
                <w:spacing w:val="40"/>
                <w:sz w:val="16"/>
                <w:szCs w:val="16"/>
              </w:rPr>
              <w:t xml:space="preserve">KEY CONCEPT  —  The Mis/Dis/Malinformation Framework</w:t>
            </w:r>
          </w:p>
          <w:p>
            <w:r>
              <w:rPr>
                <w:rFonts w:ascii="Arial" w:cs="Arial" w:eastAsia="Arial" w:hAnsi="Arial"/>
                <w:i/>
                <w:iCs/>
                <w:color w:val="1a3a5c"/>
                <w:sz w:val="20"/>
                <w:szCs w:val="20"/>
              </w:rPr>
              <w:t xml:space="preserve">Misinformation: false, no intent to harm. Disinformation: false, deliberate intent to deceive. Malinformation: true information deployed to cause harm. Most organised antiscience content is disinformation — deliberately manufactured and spread.</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KEY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Term</w:t>
            </w:r>
          </w:p>
        </w:tc>
        <w:tc>
          <w:tcPr>
            <w:tcW w:type="dxa" w:w="6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My definition (in my own words)</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False balance</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Disinformation</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Algorithmic amplification</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Filter bubble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Infodemic</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Media literacy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p>
      <w:pPr>
        <w:spacing w:after="80" w:before="240"/>
      </w:pPr>
      <w:r>
        <w:rPr>
          <w:rFonts w:ascii="Arial" w:cs="Arial" w:eastAsia="Arial" w:hAnsi="Arial"/>
          <w:b/>
          <w:bCs/>
          <w:color w:val="92400e"/>
          <w:spacing w:val="40"/>
          <w:sz w:val="18"/>
          <w:szCs w:val="18"/>
        </w:rPr>
        <w:t xml:space="preserve">◆  REFLECTION QUESTIONS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Think of a news story you have seen that exhibited false balance on a scientific topic. How was the balance created? Who benefited from the appearance of controversy? What would accurate coverage have looked like?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Vosoughi et al. found that humans — not bots — are primarily responsible for the faster spread of false news. What does this suggest about where the solutions to misinformation lie? With individuals, platforms, or institutions?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120"/>
      </w:pPr>
      <w:r>
        <w:t xml:space="preserve"/>
      </w:r>
    </w:p>
    <w:p>
      <w:pPr>
        <w:spacing w:after="80" w:before="240"/>
      </w:pPr>
      <w:r>
        <w:rPr>
          <w:rFonts w:ascii="Arial" w:cs="Arial" w:eastAsia="Arial" w:hAnsi="Arial"/>
          <w:b/>
          <w:bCs/>
          <w:color w:val="0e7490"/>
          <w:spacing w:val="40"/>
          <w:sz w:val="18"/>
          <w:szCs w:val="18"/>
        </w:rPr>
        <w:t xml:space="preserve">◆  ACTIVITY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0f2f7" w:val="clear"/>
            <w:tcMar>
              <w:top w:type="dxa" w:w="120"/>
              <w:left w:type="dxa" w:w="200"/>
              <w:bottom w:type="dxa" w:w="120"/>
              <w:right w:type="dxa" w:w="200"/>
            </w:tcMar>
          </w:tcPr>
          <w:p>
            <w:pPr>
              <w:spacing w:after="60"/>
            </w:pPr>
            <w:r>
              <w:rPr>
                <w:rFonts w:ascii="Arial" w:cs="Arial" w:eastAsia="Arial" w:hAnsi="Arial"/>
                <w:b/>
                <w:bCs/>
                <w:color w:val="0e7490"/>
                <w:spacing w:val="40"/>
                <w:sz w:val="16"/>
                <w:szCs w:val="16"/>
              </w:rPr>
              <w:t xml:space="preserve">✦  ACTIVITY  —  SOURCE EVALUATION — THE SIFT METHOD</w:t>
            </w:r>
          </w:p>
          <w:p>
            <w:pPr>
              <w:spacing w:after="80"/>
            </w:pPr>
            <w:r>
              <w:rPr>
                <w:rFonts w:ascii="Arial" w:cs="Arial" w:eastAsia="Arial" w:hAnsi="Arial"/>
                <w:color w:val="134e4a"/>
                <w:sz w:val="20"/>
                <w:szCs w:val="20"/>
              </w:rPr>
              <w:t xml:space="preserve">Apply the SIFT method (Stop · Investigate the source · Find better coverage · Trace claims) to one piece of antiscience content you locate online. Document your process in the table below.</w:t>
            </w:r>
          </w:p>
          <w:p>
            <w:pPr>
              <w:spacing w:after="40" w:before="40"/>
              <w:ind w:left="240"/>
            </w:pPr>
            <w:r>
              <w:rPr>
                <w:rFonts w:ascii="Arial" w:cs="Arial" w:eastAsia="Arial" w:hAnsi="Arial"/>
                <w:color w:val="134e4a"/>
                <w:sz w:val="20"/>
                <w:szCs w:val="20"/>
              </w:rPr>
              <w:t xml:space="preserve">1.  Stop: What is your initial reaction? Does the headline or framing trigger an emotional response?</w:t>
            </w:r>
          </w:p>
          <w:p>
            <w:pPr>
              <w:spacing w:after="40" w:before="40"/>
              <w:ind w:left="240"/>
            </w:pPr>
            <w:r>
              <w:rPr>
                <w:rFonts w:ascii="Arial" w:cs="Arial" w:eastAsia="Arial" w:hAnsi="Arial"/>
                <w:color w:val="134e4a"/>
                <w:sz w:val="20"/>
                <w:szCs w:val="20"/>
              </w:rPr>
              <w:t xml:space="preserve">2.  Investigate: Who produced this content? What are their credentials and funding sources?</w:t>
            </w:r>
          </w:p>
          <w:p>
            <w:pPr>
              <w:spacing w:after="40" w:before="40"/>
              <w:ind w:left="240"/>
            </w:pPr>
            <w:r>
              <w:rPr>
                <w:rFonts w:ascii="Arial" w:cs="Arial" w:eastAsia="Arial" w:hAnsi="Arial"/>
                <w:color w:val="134e4a"/>
                <w:sz w:val="20"/>
                <w:szCs w:val="20"/>
              </w:rPr>
              <w:t xml:space="preserve">3.  Find better coverage: What do other sources — particularly peer-reviewed or mainstream scientific sources — say about this claim?</w:t>
            </w:r>
          </w:p>
          <w:p>
            <w:pPr>
              <w:spacing w:after="40" w:before="40"/>
              <w:ind w:left="240"/>
            </w:pPr>
            <w:r>
              <w:rPr>
                <w:rFonts w:ascii="Arial" w:cs="Arial" w:eastAsia="Arial" w:hAnsi="Arial"/>
                <w:color w:val="134e4a"/>
                <w:sz w:val="20"/>
                <w:szCs w:val="20"/>
              </w:rPr>
              <w:t xml:space="preserve">4.  Trace: Where did the original claim come from? Has it been accurately represented?</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Step</w:t>
            </w:r>
          </w:p>
        </w:tc>
        <w:tc>
          <w:tcPr>
            <w:tcW w:type="dxa" w:w="7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Your findings</w:t>
            </w:r>
          </w:p>
        </w:tc>
      </w:tr>
      <w:tr>
        <w:tc>
          <w:tcPr>
            <w:tcW w:type="dxa" w:w="2000"/>
            <w:tcBorders>
              <w:top w:val="single" w:color="cccccc" w:sz="1"/>
              <w:left w:val="single" w:color="cccccc" w:sz="1"/>
              <w:bottom w:val="single" w:color="cccccc" w:sz="1"/>
              <w:right w:val="single" w:color="cccccc" w:sz="1"/>
            </w:tcBorders>
            <w:shd w:fill="e0f2f7" w:val="clear"/>
            <w:tcMar>
              <w:top w:type="dxa" w:w="120"/>
              <w:left w:type="dxa" w:w="120"/>
              <w:bottom w:type="dxa" w:w="120"/>
              <w:right w:type="dxa" w:w="120"/>
            </w:tcMar>
          </w:tcPr>
          <w:p>
            <w:r>
              <w:rPr>
                <w:rFonts w:ascii="Arial" w:cs="Arial" w:eastAsia="Arial" w:hAnsi="Arial"/>
                <w:b/>
                <w:bCs/>
                <w:color w:val="0e7490"/>
                <w:sz w:val="20"/>
                <w:szCs w:val="20"/>
              </w:rPr>
              <w:t xml:space="preserve">Stop</w:t>
            </w:r>
          </w:p>
        </w:tc>
        <w:tc>
          <w:tcPr>
            <w:tcW w:type="dxa" w:w="7360"/>
            <w:tcBorders>
              <w:top w:val="single" w:color="cccccc" w:sz="1"/>
              <w:left w:val="single" w:color="cccccc" w:sz="1"/>
              <w:bottom w:val="single" w:color="cccccc" w:sz="1"/>
              <w:right w:val="single" w:color="cccccc" w:sz="1"/>
            </w:tcBorders>
            <w:shd w:fill="e0f2f7" w:val="clear"/>
            <w:tcMar>
              <w:top w:type="dxa" w:w="120"/>
              <w:left w:type="dxa" w:w="120"/>
              <w:bottom w:type="dxa" w:w="120"/>
              <w:right w:type="dxa" w:w="120"/>
            </w:tcMar>
          </w:tcPr>
          <w:p>
            <w:r>
              <w:rPr>
                <w:rFonts w:ascii="Arial" w:cs="Arial" w:eastAsia="Arial" w:hAnsi="Arial"/>
                <w:sz w:val="20"/>
                <w:szCs w:val="20"/>
              </w:rPr>
              <w:t xml:space="preserve"> </w:t>
            </w:r>
          </w:p>
        </w:tc>
      </w:tr>
      <w:tr>
        <w:tc>
          <w:tcPr>
            <w:tcW w:type="dxa" w:w="2000"/>
            <w:tcBorders>
              <w:top w:val="single" w:color="cccccc" w:sz="1"/>
              <w:left w:val="single" w:color="cccccc" w:sz="1"/>
              <w:bottom w:val="single" w:color="cccccc" w:sz="1"/>
              <w:right w:val="single" w:color="cccccc" w:sz="1"/>
            </w:tcBorders>
            <w:shd w:fill="ffffff" w:val="clear"/>
            <w:tcMar>
              <w:top w:type="dxa" w:w="120"/>
              <w:left w:type="dxa" w:w="120"/>
              <w:bottom w:type="dxa" w:w="120"/>
              <w:right w:type="dxa" w:w="120"/>
            </w:tcMar>
          </w:tcPr>
          <w:p>
            <w:r>
              <w:rPr>
                <w:rFonts w:ascii="Arial" w:cs="Arial" w:eastAsia="Arial" w:hAnsi="Arial"/>
                <w:b/>
                <w:bCs/>
                <w:color w:val="0e7490"/>
                <w:sz w:val="20"/>
                <w:szCs w:val="20"/>
              </w:rPr>
              <w:t xml:space="preserve">Investigate</w:t>
            </w:r>
          </w:p>
        </w:tc>
        <w:tc>
          <w:tcPr>
            <w:tcW w:type="dxa" w:w="7360"/>
            <w:tcBorders>
              <w:top w:val="single" w:color="cccccc" w:sz="1"/>
              <w:left w:val="single" w:color="cccccc" w:sz="1"/>
              <w:bottom w:val="single" w:color="cccccc" w:sz="1"/>
              <w:right w:val="single" w:color="cccccc" w:sz="1"/>
            </w:tcBorders>
            <w:shd w:fill="ffffff" w:val="clear"/>
            <w:tcMar>
              <w:top w:type="dxa" w:w="120"/>
              <w:left w:type="dxa" w:w="120"/>
              <w:bottom w:type="dxa" w:w="120"/>
              <w:right w:type="dxa" w:w="120"/>
            </w:tcMar>
          </w:tcPr>
          <w:p>
            <w:r>
              <w:rPr>
                <w:rFonts w:ascii="Arial" w:cs="Arial" w:eastAsia="Arial" w:hAnsi="Arial"/>
                <w:sz w:val="20"/>
                <w:szCs w:val="20"/>
              </w:rPr>
              <w:t xml:space="preserve"> </w:t>
            </w:r>
          </w:p>
        </w:tc>
      </w:tr>
      <w:tr>
        <w:tc>
          <w:tcPr>
            <w:tcW w:type="dxa" w:w="2000"/>
            <w:tcBorders>
              <w:top w:val="single" w:color="cccccc" w:sz="1"/>
              <w:left w:val="single" w:color="cccccc" w:sz="1"/>
              <w:bottom w:val="single" w:color="cccccc" w:sz="1"/>
              <w:right w:val="single" w:color="cccccc" w:sz="1"/>
            </w:tcBorders>
            <w:shd w:fill="e0f2f7" w:val="clear"/>
            <w:tcMar>
              <w:top w:type="dxa" w:w="120"/>
              <w:left w:type="dxa" w:w="120"/>
              <w:bottom w:type="dxa" w:w="120"/>
              <w:right w:type="dxa" w:w="120"/>
            </w:tcMar>
          </w:tcPr>
          <w:p>
            <w:r>
              <w:rPr>
                <w:rFonts w:ascii="Arial" w:cs="Arial" w:eastAsia="Arial" w:hAnsi="Arial"/>
                <w:b/>
                <w:bCs/>
                <w:color w:val="0e7490"/>
                <w:sz w:val="20"/>
                <w:szCs w:val="20"/>
              </w:rPr>
              <w:t xml:space="preserve">Find</w:t>
            </w:r>
          </w:p>
        </w:tc>
        <w:tc>
          <w:tcPr>
            <w:tcW w:type="dxa" w:w="7360"/>
            <w:tcBorders>
              <w:top w:val="single" w:color="cccccc" w:sz="1"/>
              <w:left w:val="single" w:color="cccccc" w:sz="1"/>
              <w:bottom w:val="single" w:color="cccccc" w:sz="1"/>
              <w:right w:val="single" w:color="cccccc" w:sz="1"/>
            </w:tcBorders>
            <w:shd w:fill="e0f2f7" w:val="clear"/>
            <w:tcMar>
              <w:top w:type="dxa" w:w="120"/>
              <w:left w:type="dxa" w:w="120"/>
              <w:bottom w:type="dxa" w:w="120"/>
              <w:right w:type="dxa" w:w="120"/>
            </w:tcMar>
          </w:tcPr>
          <w:p>
            <w:r>
              <w:rPr>
                <w:rFonts w:ascii="Arial" w:cs="Arial" w:eastAsia="Arial" w:hAnsi="Arial"/>
                <w:sz w:val="20"/>
                <w:szCs w:val="20"/>
              </w:rPr>
              <w:t xml:space="preserve"> </w:t>
            </w:r>
          </w:p>
        </w:tc>
      </w:tr>
      <w:tr>
        <w:tc>
          <w:tcPr>
            <w:tcW w:type="dxa" w:w="2000"/>
            <w:tcBorders>
              <w:top w:val="single" w:color="cccccc" w:sz="1"/>
              <w:left w:val="single" w:color="cccccc" w:sz="1"/>
              <w:bottom w:val="single" w:color="cccccc" w:sz="1"/>
              <w:right w:val="single" w:color="cccccc" w:sz="1"/>
            </w:tcBorders>
            <w:shd w:fill="ffffff" w:val="clear"/>
            <w:tcMar>
              <w:top w:type="dxa" w:w="120"/>
              <w:left w:type="dxa" w:w="120"/>
              <w:bottom w:type="dxa" w:w="120"/>
              <w:right w:type="dxa" w:w="120"/>
            </w:tcMar>
          </w:tcPr>
          <w:p>
            <w:r>
              <w:rPr>
                <w:rFonts w:ascii="Arial" w:cs="Arial" w:eastAsia="Arial" w:hAnsi="Arial"/>
                <w:b/>
                <w:bCs/>
                <w:color w:val="0e7490"/>
                <w:sz w:val="20"/>
                <w:szCs w:val="20"/>
              </w:rPr>
              <w:t xml:space="preserve">Trace</w:t>
            </w:r>
          </w:p>
        </w:tc>
        <w:tc>
          <w:tcPr>
            <w:tcW w:type="dxa" w:w="7360"/>
            <w:tcBorders>
              <w:top w:val="single" w:color="cccccc" w:sz="1"/>
              <w:left w:val="single" w:color="cccccc" w:sz="1"/>
              <w:bottom w:val="single" w:color="cccccc" w:sz="1"/>
              <w:right w:val="single" w:color="cccccc" w:sz="1"/>
            </w:tcBorders>
            <w:shd w:fill="ffffff" w:val="clear"/>
            <w:tcMar>
              <w:top w:type="dxa" w:w="120"/>
              <w:left w:type="dxa" w:w="120"/>
              <w:bottom w:type="dxa" w:w="120"/>
              <w:right w:type="dxa" w:w="120"/>
            </w:tcMar>
          </w:tcPr>
          <w:p>
            <w:r>
              <w:rPr>
                <w:rFonts w:ascii="Arial" w:cs="Arial" w:eastAsia="Arial" w:hAnsi="Arial"/>
                <w:sz w:val="20"/>
                <w:szCs w:val="20"/>
              </w:rPr>
              <w:t xml:space="preserve"> </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9fe" w:val="clear"/>
            <w:tcMar>
              <w:top w:type="dxa" w:w="120"/>
              <w:left w:type="dxa" w:w="200"/>
              <w:bottom w:type="dxa" w:w="120"/>
              <w:right w:type="dxa" w:w="200"/>
            </w:tcMar>
          </w:tcPr>
          <w:p>
            <w:pPr>
              <w:spacing w:after="60"/>
            </w:pPr>
            <w:r>
              <w:rPr>
                <w:rFonts w:ascii="Arial" w:cs="Arial" w:eastAsia="Arial" w:hAnsi="Arial"/>
                <w:b/>
                <w:bCs/>
                <w:color w:val="6d28d9"/>
                <w:spacing w:val="40"/>
                <w:sz w:val="16"/>
                <w:szCs w:val="16"/>
              </w:rPr>
              <w:t xml:space="preserve">◉  CASE STUDY  —  COVID-19 AND THE INFODEMIC</w:t>
            </w:r>
          </w:p>
          <w:p>
            <w:pPr>
              <w:spacing w:after="80"/>
            </w:pPr>
            <w:r>
              <w:rPr>
                <w:rFonts w:ascii="Arial" w:cs="Arial" w:eastAsia="Arial" w:hAnsi="Arial"/>
                <w:i/>
                <w:iCs/>
                <w:color w:val="3b0764"/>
                <w:sz w:val="20"/>
                <w:szCs w:val="20"/>
              </w:rPr>
              <w:t xml:space="preserve">The WHO declared an 'infodemic' alongside the COVID-19 pandemic — an overabundance of information, accurate and inaccurate, that made it difficult for people to find trustworthy guidance. False claims spread at unprecedented speed: that 5G caused the virus, that bleach could cure it, that masks were harmful, and that vaccines contained microchips. Many claims originated on fringe platforms and migrated to mainstream social media within hours.</w:t>
            </w:r>
          </w:p>
          <w:p>
            <w:pPr>
              <w:spacing w:after="40"/>
            </w:pPr>
            <w:r>
              <w:rPr>
                <w:rFonts w:ascii="Arial" w:cs="Arial" w:eastAsia="Arial" w:hAnsi="Arial"/>
                <w:b/>
                <w:bCs/>
                <w:color w:val="3b0764"/>
                <w:sz w:val="20"/>
                <w:szCs w:val="20"/>
              </w:rPr>
              <w:t xml:space="preserve">Your tasks:</w:t>
            </w:r>
          </w:p>
          <w:p>
            <w:pPr>
              <w:spacing w:after="40" w:before="40"/>
              <w:ind w:left="240"/>
            </w:pPr>
            <w:r>
              <w:rPr>
                <w:rFonts w:ascii="Arial" w:cs="Arial" w:eastAsia="Arial" w:hAnsi="Arial"/>
                <w:color w:val="3b0764"/>
                <w:sz w:val="20"/>
                <w:szCs w:val="20"/>
              </w:rPr>
              <w:t xml:space="preserve">1.  Apply Wardle and Derakhshan's framework: categorise three specific COVID misinformation claims as misinformation, disinformation, or malinformation. Justify your categorisations.</w:t>
            </w:r>
          </w:p>
          <w:p>
            <w:pPr>
              <w:spacing w:after="40" w:before="40"/>
              <w:ind w:left="240"/>
            </w:pPr>
            <w:r>
              <w:rPr>
                <w:rFonts w:ascii="Arial" w:cs="Arial" w:eastAsia="Arial" w:hAnsi="Arial"/>
                <w:color w:val="3b0764"/>
                <w:sz w:val="20"/>
                <w:szCs w:val="20"/>
              </w:rPr>
              <w:t xml:space="preserve">2.  What features of social media platforms made COVID misinformation spread particularly fast? What structural changes could have reduced this?</w:t>
            </w:r>
          </w:p>
          <w:p>
            <w:pPr>
              <w:spacing w:after="40" w:before="40"/>
              <w:ind w:left="240"/>
            </w:pPr>
            <w:r>
              <w:rPr>
                <w:rFonts w:ascii="Arial" w:cs="Arial" w:eastAsia="Arial" w:hAnsi="Arial"/>
                <w:color w:val="3b0764"/>
                <w:sz w:val="20"/>
                <w:szCs w:val="20"/>
              </w:rPr>
              <w:t xml:space="preserve">3.  How should public health communicators have responded differently to the infodemic? Drawing on the course material, propose three specific strategies.</w:t>
            </w:r>
          </w:p>
        </w:tc>
      </w:tr>
    </w:tbl>
    <w:p>
      <w:pPr>
        <w:spacing w:after="0" w:before="120"/>
      </w:pPr>
      <w:r>
        <w:t xml:space="preserve"/>
      </w:r>
    </w:p>
    <w:p>
      <w:pPr>
        <w:spacing w:after="80" w:before="240"/>
      </w:pPr>
      <w:r>
        <w:rPr>
          <w:rFonts w:ascii="Arial" w:cs="Arial" w:eastAsia="Arial" w:hAnsi="Arial"/>
          <w:b/>
          <w:bCs/>
          <w:color w:val="0f2642"/>
          <w:spacing w:val="40"/>
          <w:sz w:val="18"/>
          <w:szCs w:val="18"/>
        </w:rPr>
        <w:t xml:space="preserve">◆  KNOWLEDGE CHECK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f2642" w:sz="12"/>
              <w:bottom w:val="single" w:color="cccccc" w:sz="1"/>
              <w:right w:val="none" w:color="ffffff" w:sz="0"/>
            </w:tcBorders>
            <w:shd w:fill="f2f2f2" w:val="clear"/>
            <w:tcMar>
              <w:top w:type="dxa" w:w="120"/>
              <w:left w:type="dxa" w:w="200"/>
              <w:bottom w:type="dxa" w:w="120"/>
              <w:right w:type="dxa" w:w="200"/>
            </w:tcMar>
          </w:tcPr>
          <w:p>
            <w:pPr>
              <w:spacing w:after="80"/>
            </w:pPr>
            <w:r>
              <w:rPr>
                <w:rFonts w:ascii="Arial" w:cs="Arial" w:eastAsia="Arial" w:hAnsi="Arial"/>
                <w:b/>
                <w:bCs/>
                <w:color w:val="0f2642"/>
                <w:spacing w:val="40"/>
                <w:sz w:val="16"/>
                <w:szCs w:val="16"/>
              </w:rPr>
              <w:t xml:space="preserve">?  KNOWLEDGE CHECK</w:t>
            </w:r>
          </w:p>
          <w:p>
            <w:pPr>
              <w:spacing w:after="20" w:before="80"/>
            </w:pPr>
            <w:r>
              <w:rPr>
                <w:rFonts w:ascii="Arial" w:cs="Arial" w:eastAsia="Arial" w:hAnsi="Arial"/>
                <w:b/>
                <w:bCs/>
                <w:color w:val="1a3a5c"/>
                <w:sz w:val="20"/>
                <w:szCs w:val="20"/>
              </w:rPr>
              <w:t xml:space="preserve">1.  Vosoughi et al. (2018) found that false news spreads faster than true news primarily because:</w:t>
            </w:r>
          </w:p>
          <w:p>
            <w:pPr>
              <w:spacing w:after="0" w:before="20"/>
              <w:ind w:left="240"/>
            </w:pPr>
            <w:r>
              <w:rPr>
                <w:rFonts w:ascii="Arial" w:cs="Arial" w:eastAsia="Arial" w:hAnsi="Arial"/>
                <w:color w:val="555555"/>
                <w:sz w:val="20"/>
                <w:szCs w:val="20"/>
              </w:rPr>
              <w:t xml:space="preserve">○  A. Automated bots amplify false content at scale</w:t>
            </w:r>
          </w:p>
          <w:p>
            <w:pPr>
              <w:spacing w:after="0" w:before="20"/>
              <w:ind w:left="240"/>
            </w:pPr>
            <w:r>
              <w:rPr>
                <w:rFonts w:ascii="Arial" w:cs="Arial" w:eastAsia="Arial" w:hAnsi="Arial"/>
                <w:color w:val="555555"/>
                <w:sz w:val="20"/>
                <w:szCs w:val="20"/>
              </w:rPr>
              <w:t xml:space="preserve">○  B. Social media algorithms preferentially surface false content</w:t>
            </w:r>
          </w:p>
          <w:p>
            <w:pPr>
              <w:spacing w:after="0" w:before="20"/>
              <w:ind w:left="240"/>
            </w:pPr>
            <w:r>
              <w:rPr>
                <w:rFonts w:ascii="Arial" w:cs="Arial" w:eastAsia="Arial" w:hAnsi="Arial"/>
                <w:color w:val="555555"/>
                <w:sz w:val="20"/>
                <w:szCs w:val="20"/>
              </w:rPr>
              <w:t xml:space="preserve">○  C. Humans preferentially share novel, emotionally arousing false content</w:t>
            </w:r>
          </w:p>
          <w:p>
            <w:pPr>
              <w:spacing w:after="0" w:before="20"/>
              <w:ind w:left="240"/>
            </w:pPr>
            <w:r>
              <w:rPr>
                <w:rFonts w:ascii="Arial" w:cs="Arial" w:eastAsia="Arial" w:hAnsi="Arial"/>
                <w:color w:val="555555"/>
                <w:sz w:val="20"/>
                <w:szCs w:val="20"/>
              </w:rPr>
              <w:t xml:space="preserve">○  D. False content is easier to understand than accurate content</w:t>
            </w:r>
          </w:p>
          <w:p>
            <w:pPr>
              <w:spacing w:after="20" w:before="80"/>
            </w:pPr>
            <w:r>
              <w:rPr>
                <w:rFonts w:ascii="Arial" w:cs="Arial" w:eastAsia="Arial" w:hAnsi="Arial"/>
                <w:b/>
                <w:bCs/>
                <w:color w:val="1a3a5c"/>
                <w:sz w:val="20"/>
                <w:szCs w:val="20"/>
              </w:rPr>
              <w:t xml:space="preserve">2.  In the Wardle/Derakhshan framework, 'disinformation' is defined as:</w:t>
            </w:r>
          </w:p>
          <w:p>
            <w:pPr>
              <w:spacing w:after="0" w:before="20"/>
              <w:ind w:left="240"/>
            </w:pPr>
            <w:r>
              <w:rPr>
                <w:rFonts w:ascii="Arial" w:cs="Arial" w:eastAsia="Arial" w:hAnsi="Arial"/>
                <w:color w:val="555555"/>
                <w:sz w:val="20"/>
                <w:szCs w:val="20"/>
              </w:rPr>
              <w:t xml:space="preserve">○  A. Any false information regardless of intent</w:t>
            </w:r>
          </w:p>
          <w:p>
            <w:pPr>
              <w:spacing w:after="0" w:before="20"/>
              <w:ind w:left="240"/>
            </w:pPr>
            <w:r>
              <w:rPr>
                <w:rFonts w:ascii="Arial" w:cs="Arial" w:eastAsia="Arial" w:hAnsi="Arial"/>
                <w:color w:val="555555"/>
                <w:sz w:val="20"/>
                <w:szCs w:val="20"/>
              </w:rPr>
              <w:t xml:space="preserve">○  B. True information shared with intent to harm</w:t>
            </w:r>
          </w:p>
          <w:p>
            <w:pPr>
              <w:spacing w:after="0" w:before="20"/>
              <w:ind w:left="240"/>
            </w:pPr>
            <w:r>
              <w:rPr>
                <w:rFonts w:ascii="Arial" w:cs="Arial" w:eastAsia="Arial" w:hAnsi="Arial"/>
                <w:color w:val="555555"/>
                <w:sz w:val="20"/>
                <w:szCs w:val="20"/>
              </w:rPr>
              <w:t xml:space="preserve">○  C. False information deliberately created and shared to deceive</w:t>
            </w:r>
          </w:p>
          <w:p>
            <w:pPr>
              <w:spacing w:after="0" w:before="20"/>
              <w:ind w:left="240"/>
            </w:pPr>
            <w:r>
              <w:rPr>
                <w:rFonts w:ascii="Arial" w:cs="Arial" w:eastAsia="Arial" w:hAnsi="Arial"/>
                <w:color w:val="555555"/>
                <w:sz w:val="20"/>
                <w:szCs w:val="20"/>
              </w:rPr>
              <w:t xml:space="preserve">○  D. Information distorted through multiple rounds of sharing</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6d28d9"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UNIT 5  ·  Weeks 9–10</w:t>
            </w:r>
          </w:p>
          <w:p>
            <w:r>
              <w:rPr>
                <w:rFonts w:ascii="Arial" w:cs="Arial" w:eastAsia="Arial" w:hAnsi="Arial"/>
                <w:b/>
                <w:bCs/>
                <w:color w:val="ffffff"/>
                <w:sz w:val="28"/>
                <w:szCs w:val="28"/>
              </w:rPr>
              <w:t xml:space="preserve">Countering Antiscience: Inoculation &amp; Prebunking</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LESSON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Inoculation theory (McGuire; van der Linden et al.) proposes that exposing people to weakened forms of manipulative arguments before they encounter the real thing builds psychological resistance — like a vaccine.</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Prebunking — warning people about manipulation techniques before exposure — is more effective than debunking after the fact, because it prevents the false belief from being formed rather than trying to uproot it.</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Technique-based inoculation (teaching recognition of manipulation strategies like FLICC) is more transferable and durable than topic-based inoculation (teaching responses to specific false claims).</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The Debunking Handbook (Lewandowsky et al. 2020) recommends the Fact-Myth-Fallacy structure: lead with the accurate fact, warn of the myth, explain the fallacy, reinforce the fact. Never lead with the myth.</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The 'Cranky Uncle' gamified approach demonstrates that inoculation can be delivered through interactive media with measurable effects on participants' ability to identify manipulation.</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3fb" w:val="clear"/>
            <w:tcMar>
              <w:top w:type="dxa" w:w="120"/>
              <w:left w:type="dxa" w:w="200"/>
              <w:bottom w:type="dxa" w:w="120"/>
              <w:right w:type="dxa" w:w="200"/>
            </w:tcMar>
          </w:tcPr>
          <w:p>
            <w:pPr>
              <w:spacing w:after="60"/>
            </w:pPr>
            <w:r>
              <w:rPr>
                <w:rFonts w:ascii="Arial" w:cs="Arial" w:eastAsia="Arial" w:hAnsi="Arial"/>
                <w:b/>
                <w:bCs/>
                <w:color w:val="2563a8"/>
                <w:spacing w:val="40"/>
                <w:sz w:val="16"/>
                <w:szCs w:val="16"/>
              </w:rPr>
              <w:t xml:space="preserve">KEY CONCEPT  —  The Fact-Myth-Fallacy Structure</w:t>
            </w:r>
          </w:p>
          <w:p>
            <w:r>
              <w:rPr>
                <w:rFonts w:ascii="Arial" w:cs="Arial" w:eastAsia="Arial" w:hAnsi="Arial"/>
                <w:i/>
                <w:iCs/>
                <w:color w:val="1a3a5c"/>
                <w:sz w:val="20"/>
                <w:szCs w:val="20"/>
              </w:rPr>
              <w:t xml:space="preserve">1. Lead with the accurate FACT. 2. Warn that a MYTH exists ('you may have heard...'). 3. Explain the FALLACY in the myth (which FLICC technique does it use?). 4. Reinforce the accurate FACT. Critical: never open with the myth — repetition strengthens it.</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KEY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Term</w:t>
            </w:r>
          </w:p>
        </w:tc>
        <w:tc>
          <w:tcPr>
            <w:tcW w:type="dxa" w:w="6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My definition (in my own words)</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Inoculation theory</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Prebunking</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Debunking</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Technique-based inoculation</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Fact-Myth-Fallacy</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FLICC</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p>
      <w:pPr>
        <w:spacing w:after="80" w:before="240"/>
      </w:pPr>
      <w:r>
        <w:rPr>
          <w:rFonts w:ascii="Arial" w:cs="Arial" w:eastAsia="Arial" w:hAnsi="Arial"/>
          <w:b/>
          <w:bCs/>
          <w:color w:val="92400e"/>
          <w:spacing w:val="40"/>
          <w:sz w:val="18"/>
          <w:szCs w:val="18"/>
        </w:rPr>
        <w:t xml:space="preserve">◆  REFLECTION QUESTIONS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Think of a time when you or someone you know changed their mind about a false belief. What actually caused the change? Does your experience support or complicate the research on debunking and inoculation?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The Debunking Handbook advises against leading with the myth. Why might this counterintuitive advice be correct? Can you think of examples where leading with the myth may have backfired?</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120"/>
      </w:pPr>
      <w:r>
        <w:t xml:space="preserve"/>
      </w:r>
    </w:p>
    <w:p>
      <w:pPr>
        <w:spacing w:after="80" w:before="240"/>
      </w:pPr>
      <w:r>
        <w:rPr>
          <w:rFonts w:ascii="Arial" w:cs="Arial" w:eastAsia="Arial" w:hAnsi="Arial"/>
          <w:b/>
          <w:bCs/>
          <w:color w:val="0e7490"/>
          <w:spacing w:val="40"/>
          <w:sz w:val="18"/>
          <w:szCs w:val="18"/>
        </w:rPr>
        <w:t xml:space="preserve">◆  ACTIVITY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0f2f7" w:val="clear"/>
            <w:tcMar>
              <w:top w:type="dxa" w:w="120"/>
              <w:left w:type="dxa" w:w="200"/>
              <w:bottom w:type="dxa" w:w="120"/>
              <w:right w:type="dxa" w:w="200"/>
            </w:tcMar>
          </w:tcPr>
          <w:p>
            <w:pPr>
              <w:spacing w:after="60"/>
            </w:pPr>
            <w:r>
              <w:rPr>
                <w:rFonts w:ascii="Arial" w:cs="Arial" w:eastAsia="Arial" w:hAnsi="Arial"/>
                <w:b/>
                <w:bCs/>
                <w:color w:val="0e7490"/>
                <w:spacing w:val="40"/>
                <w:sz w:val="16"/>
                <w:szCs w:val="16"/>
              </w:rPr>
              <w:t xml:space="preserve">✦  ACTIVITY  —  WRITE A PREBUNK</w:t>
            </w:r>
          </w:p>
          <w:p>
            <w:pPr>
              <w:spacing w:after="80"/>
            </w:pPr>
            <w:r>
              <w:rPr>
                <w:rFonts w:ascii="Arial" w:cs="Arial" w:eastAsia="Arial" w:hAnsi="Arial"/>
                <w:color w:val="134e4a"/>
                <w:sz w:val="20"/>
                <w:szCs w:val="20"/>
              </w:rPr>
              <w:t xml:space="preserve">Choose one common antiscience claim from the list below (or select your own). Using the Fact-Myth-Fallacy structure from the Debunking Handbook, write a 150-200 word prebunk suitable for a general audience. Then identify which FLICC technique the myth uses.</w:t>
            </w:r>
          </w:p>
          <w:p>
            <w:pPr>
              <w:spacing w:after="40" w:before="40"/>
              <w:ind w:left="240"/>
            </w:pPr>
            <w:r>
              <w:rPr>
                <w:rFonts w:ascii="Arial" w:cs="Arial" w:eastAsia="Arial" w:hAnsi="Arial"/>
                <w:color w:val="134e4a"/>
                <w:sz w:val="20"/>
                <w:szCs w:val="20"/>
              </w:rPr>
              <w:t xml:space="preserve">1.  Option A: 'Vaccines cause autism' (antivax)</w:t>
            </w:r>
          </w:p>
          <w:p>
            <w:pPr>
              <w:spacing w:after="40" w:before="40"/>
              <w:ind w:left="240"/>
            </w:pPr>
            <w:r>
              <w:rPr>
                <w:rFonts w:ascii="Arial" w:cs="Arial" w:eastAsia="Arial" w:hAnsi="Arial"/>
                <w:color w:val="134e4a"/>
                <w:sz w:val="20"/>
                <w:szCs w:val="20"/>
              </w:rPr>
              <w:t xml:space="preserve">2.  Option B: 'Scientists disagree about whether climate change is human-caused' (climate denial)</w:t>
            </w:r>
          </w:p>
          <w:p>
            <w:pPr>
              <w:spacing w:after="40" w:before="40"/>
              <w:ind w:left="240"/>
            </w:pPr>
            <w:r>
              <w:rPr>
                <w:rFonts w:ascii="Arial" w:cs="Arial" w:eastAsia="Arial" w:hAnsi="Arial"/>
                <w:color w:val="134e4a"/>
                <w:sz w:val="20"/>
                <w:szCs w:val="20"/>
              </w:rPr>
              <w:t xml:space="preserve">3.  Option C: 'GMO foods are untested and dangerous' (GMO opposition)</w:t>
            </w:r>
          </w:p>
          <w:p>
            <w:pPr>
              <w:spacing w:after="40" w:before="40"/>
              <w:ind w:left="240"/>
            </w:pPr>
            <w:r>
              <w:rPr>
                <w:rFonts w:ascii="Arial" w:cs="Arial" w:eastAsia="Arial" w:hAnsi="Arial"/>
                <w:color w:val="134e4a"/>
                <w:sz w:val="20"/>
                <w:szCs w:val="20"/>
              </w:rPr>
              <w:t xml:space="preserve">4.  Option D: 'Natural remedies are safer than pharmaceuticals because they are natural' (appeal to nature)</w:t>
            </w:r>
          </w:p>
        </w:tc>
      </w:tr>
    </w:tbl>
    <w:p>
      <w:pPr>
        <w:spacing w:after="0" w:before="80"/>
      </w:pPr>
      <w:r>
        <w:t xml:space="preserve"/>
      </w:r>
    </w:p>
    <w:p>
      <w:pPr>
        <w:spacing w:after="20" w:before="40"/>
      </w:pPr>
      <w:r>
        <w:rPr>
          <w:rFonts w:ascii="Arial" w:cs="Arial" w:eastAsia="Arial" w:hAnsi="Arial"/>
          <w:b/>
          <w:bCs/>
          <w:color w:val="555555"/>
          <w:sz w:val="20"/>
          <w:szCs w:val="20"/>
        </w:rPr>
        <w:t xml:space="preserve">FLICC technique identified: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40"/>
      </w:pPr>
      <w:r>
        <w:t xml:space="preserve"/>
      </w:r>
    </w:p>
    <w:p>
      <w:pPr>
        <w:spacing w:after="20" w:before="40"/>
      </w:pPr>
      <w:r>
        <w:rPr>
          <w:rFonts w:ascii="Arial" w:cs="Arial" w:eastAsia="Arial" w:hAnsi="Arial"/>
          <w:b/>
          <w:bCs/>
          <w:color w:val="555555"/>
          <w:sz w:val="20"/>
          <w:szCs w:val="20"/>
        </w:rPr>
        <w:t xml:space="preserve">Your prebunk (Fact → Myth warning → Fallacy → Fact):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9fe" w:val="clear"/>
            <w:tcMar>
              <w:top w:type="dxa" w:w="120"/>
              <w:left w:type="dxa" w:w="200"/>
              <w:bottom w:type="dxa" w:w="120"/>
              <w:right w:type="dxa" w:w="200"/>
            </w:tcMar>
          </w:tcPr>
          <w:p>
            <w:pPr>
              <w:spacing w:after="60"/>
            </w:pPr>
            <w:r>
              <w:rPr>
                <w:rFonts w:ascii="Arial" w:cs="Arial" w:eastAsia="Arial" w:hAnsi="Arial"/>
                <w:b/>
                <w:bCs/>
                <w:color w:val="6d28d9"/>
                <w:spacing w:val="40"/>
                <w:sz w:val="16"/>
                <w:szCs w:val="16"/>
              </w:rPr>
              <w:t xml:space="preserve">◉  CASE STUDY  —  THE 'BAD NEWS' GAME</w:t>
            </w:r>
          </w:p>
          <w:p>
            <w:pPr>
              <w:spacing w:after="80"/>
            </w:pPr>
            <w:r>
              <w:rPr>
                <w:rFonts w:ascii="Arial" w:cs="Arial" w:eastAsia="Arial" w:hAnsi="Arial"/>
                <w:i/>
                <w:iCs/>
                <w:color w:val="3b0764"/>
                <w:sz w:val="20"/>
                <w:szCs w:val="20"/>
              </w:rPr>
              <w:t xml:space="preserve">Researchers at Cambridge University developed the 'Bad News' online game as a large-scale inoculation intervention. Players take on the role of a misinformation producer, learning to identify and deploy six techniques: impersonation, emotion, polarisation, conspiracy, discrediting, and trolling. A pre/post study found that playing the game significantly improved players' ability to identify manipulative content and reduced their perceived reliability of misinformation.</w:t>
            </w:r>
          </w:p>
          <w:p>
            <w:pPr>
              <w:spacing w:after="40"/>
            </w:pPr>
            <w:r>
              <w:rPr>
                <w:rFonts w:ascii="Arial" w:cs="Arial" w:eastAsia="Arial" w:hAnsi="Arial"/>
                <w:b/>
                <w:bCs/>
                <w:color w:val="3b0764"/>
                <w:sz w:val="20"/>
                <w:szCs w:val="20"/>
              </w:rPr>
              <w:t xml:space="preserve">Your tasks:</w:t>
            </w:r>
          </w:p>
          <w:p>
            <w:pPr>
              <w:spacing w:after="40" w:before="40"/>
              <w:ind w:left="240"/>
            </w:pPr>
            <w:r>
              <w:rPr>
                <w:rFonts w:ascii="Arial" w:cs="Arial" w:eastAsia="Arial" w:hAnsi="Arial"/>
                <w:color w:val="3b0764"/>
                <w:sz w:val="20"/>
                <w:szCs w:val="20"/>
              </w:rPr>
              <w:t xml:space="preserve">1.  The Bad News game uses a different set of manipulation categories than FLICC. Compare the two frameworks — what do they share, and what does each capture that the other misses?</w:t>
            </w:r>
          </w:p>
          <w:p>
            <w:pPr>
              <w:spacing w:after="40" w:before="40"/>
              <w:ind w:left="240"/>
            </w:pPr>
            <w:r>
              <w:rPr>
                <w:rFonts w:ascii="Arial" w:cs="Arial" w:eastAsia="Arial" w:hAnsi="Arial"/>
                <w:color w:val="3b0764"/>
                <w:sz w:val="20"/>
                <w:szCs w:val="20"/>
              </w:rPr>
              <w:t xml:space="preserve">2.  The game requires players to produce misinformation rather than just identify it. What are the pedagogical advantages and risks of this approach?</w:t>
            </w:r>
          </w:p>
          <w:p>
            <w:pPr>
              <w:spacing w:after="40" w:before="40"/>
              <w:ind w:left="240"/>
            </w:pPr>
            <w:r>
              <w:rPr>
                <w:rFonts w:ascii="Arial" w:cs="Arial" w:eastAsia="Arial" w:hAnsi="Arial"/>
                <w:color w:val="3b0764"/>
                <w:sz w:val="20"/>
                <w:szCs w:val="20"/>
              </w:rPr>
              <w:t xml:space="preserve">3.  How would you design a classroom activity inspired by the Bad News game for a secondary school context? Describe the key elements and how you would handle the ethical dimensions.</w:t>
            </w:r>
          </w:p>
        </w:tc>
      </w:tr>
    </w:tbl>
    <w:p>
      <w:pPr>
        <w:spacing w:after="0" w:before="120"/>
      </w:pPr>
      <w:r>
        <w:t xml:space="preserve"/>
      </w:r>
    </w:p>
    <w:p>
      <w:pPr>
        <w:spacing w:after="80" w:before="240"/>
      </w:pPr>
      <w:r>
        <w:rPr>
          <w:rFonts w:ascii="Arial" w:cs="Arial" w:eastAsia="Arial" w:hAnsi="Arial"/>
          <w:b/>
          <w:bCs/>
          <w:color w:val="0f2642"/>
          <w:spacing w:val="40"/>
          <w:sz w:val="18"/>
          <w:szCs w:val="18"/>
        </w:rPr>
        <w:t xml:space="preserve">◆  KNOWLEDGE CHECK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f2642" w:sz="12"/>
              <w:bottom w:val="single" w:color="cccccc" w:sz="1"/>
              <w:right w:val="none" w:color="ffffff" w:sz="0"/>
            </w:tcBorders>
            <w:shd w:fill="f2f2f2" w:val="clear"/>
            <w:tcMar>
              <w:top w:type="dxa" w:w="120"/>
              <w:left w:type="dxa" w:w="200"/>
              <w:bottom w:type="dxa" w:w="120"/>
              <w:right w:type="dxa" w:w="200"/>
            </w:tcMar>
          </w:tcPr>
          <w:p>
            <w:pPr>
              <w:spacing w:after="80"/>
            </w:pPr>
            <w:r>
              <w:rPr>
                <w:rFonts w:ascii="Arial" w:cs="Arial" w:eastAsia="Arial" w:hAnsi="Arial"/>
                <w:b/>
                <w:bCs/>
                <w:color w:val="0f2642"/>
                <w:spacing w:val="40"/>
                <w:sz w:val="16"/>
                <w:szCs w:val="16"/>
              </w:rPr>
              <w:t xml:space="preserve">?  KNOWLEDGE CHECK</w:t>
            </w:r>
          </w:p>
          <w:p>
            <w:pPr>
              <w:spacing w:after="20" w:before="80"/>
            </w:pPr>
            <w:r>
              <w:rPr>
                <w:rFonts w:ascii="Arial" w:cs="Arial" w:eastAsia="Arial" w:hAnsi="Arial"/>
                <w:b/>
                <w:bCs/>
                <w:color w:val="1a3a5c"/>
                <w:sz w:val="20"/>
                <w:szCs w:val="20"/>
              </w:rPr>
              <w:t xml:space="preserve">1.  Technique-based inoculation is considered superior to topic-based inoculation because:</w:t>
            </w:r>
          </w:p>
          <w:p>
            <w:pPr>
              <w:spacing w:after="0" w:before="20"/>
              <w:ind w:left="240"/>
            </w:pPr>
            <w:r>
              <w:rPr>
                <w:rFonts w:ascii="Arial" w:cs="Arial" w:eastAsia="Arial" w:hAnsi="Arial"/>
                <w:color w:val="555555"/>
                <w:sz w:val="20"/>
                <w:szCs w:val="20"/>
              </w:rPr>
              <w:t xml:space="preserve">○  A. It is cheaper to produce</w:t>
            </w:r>
          </w:p>
          <w:p>
            <w:pPr>
              <w:spacing w:after="0" w:before="20"/>
              <w:ind w:left="240"/>
            </w:pPr>
            <w:r>
              <w:rPr>
                <w:rFonts w:ascii="Arial" w:cs="Arial" w:eastAsia="Arial" w:hAnsi="Arial"/>
                <w:color w:val="555555"/>
                <w:sz w:val="20"/>
                <w:szCs w:val="20"/>
              </w:rPr>
              <w:t xml:space="preserve">○  B. It teaches recognition of manipulation strategies that appear across all antiscience topics</w:t>
            </w:r>
          </w:p>
          <w:p>
            <w:pPr>
              <w:spacing w:after="0" w:before="20"/>
              <w:ind w:left="240"/>
            </w:pPr>
            <w:r>
              <w:rPr>
                <w:rFonts w:ascii="Arial" w:cs="Arial" w:eastAsia="Arial" w:hAnsi="Arial"/>
                <w:color w:val="555555"/>
                <w:sz w:val="20"/>
                <w:szCs w:val="20"/>
              </w:rPr>
              <w:t xml:space="preserve">○  C. It works better for older audiences</w:t>
            </w:r>
          </w:p>
          <w:p>
            <w:pPr>
              <w:spacing w:after="0" w:before="20"/>
              <w:ind w:left="240"/>
            </w:pPr>
            <w:r>
              <w:rPr>
                <w:rFonts w:ascii="Arial" w:cs="Arial" w:eastAsia="Arial" w:hAnsi="Arial"/>
                <w:color w:val="555555"/>
                <w:sz w:val="20"/>
                <w:szCs w:val="20"/>
              </w:rPr>
              <w:t xml:space="preserve">○  D. It has been tested in more countries</w:t>
            </w:r>
          </w:p>
          <w:p>
            <w:pPr>
              <w:spacing w:after="20" w:before="80"/>
            </w:pPr>
            <w:r>
              <w:rPr>
                <w:rFonts w:ascii="Arial" w:cs="Arial" w:eastAsia="Arial" w:hAnsi="Arial"/>
                <w:b/>
                <w:bCs/>
                <w:color w:val="1a3a5c"/>
                <w:sz w:val="20"/>
                <w:szCs w:val="20"/>
              </w:rPr>
              <w:t xml:space="preserve">2.  The Debunking Handbook's Fact-Myth-Fallacy structure advises that you should:</w:t>
            </w:r>
          </w:p>
          <w:p>
            <w:pPr>
              <w:spacing w:after="0" w:before="20"/>
              <w:ind w:left="240"/>
            </w:pPr>
            <w:r>
              <w:rPr>
                <w:rFonts w:ascii="Arial" w:cs="Arial" w:eastAsia="Arial" w:hAnsi="Arial"/>
                <w:color w:val="555555"/>
                <w:sz w:val="20"/>
                <w:szCs w:val="20"/>
              </w:rPr>
              <w:t xml:space="preserve">○  A. Lead with the myth to acknowledge what people have heard</w:t>
            </w:r>
          </w:p>
          <w:p>
            <w:pPr>
              <w:spacing w:after="0" w:before="20"/>
              <w:ind w:left="240"/>
            </w:pPr>
            <w:r>
              <w:rPr>
                <w:rFonts w:ascii="Arial" w:cs="Arial" w:eastAsia="Arial" w:hAnsi="Arial"/>
                <w:color w:val="555555"/>
                <w:sz w:val="20"/>
                <w:szCs w:val="20"/>
              </w:rPr>
              <w:t xml:space="preserve">○  B. Provide a comprehensive review of all evidence</w:t>
            </w:r>
          </w:p>
          <w:p>
            <w:pPr>
              <w:spacing w:after="0" w:before="20"/>
              <w:ind w:left="240"/>
            </w:pPr>
            <w:r>
              <w:rPr>
                <w:rFonts w:ascii="Arial" w:cs="Arial" w:eastAsia="Arial" w:hAnsi="Arial"/>
                <w:color w:val="555555"/>
                <w:sz w:val="20"/>
                <w:szCs w:val="20"/>
              </w:rPr>
              <w:t xml:space="preserve">○  C. Lead with the accurate fact, then warn of the myth, then explain the fallacy</w:t>
            </w:r>
          </w:p>
          <w:p>
            <w:pPr>
              <w:spacing w:after="0" w:before="20"/>
              <w:ind w:left="240"/>
            </w:pPr>
            <w:r>
              <w:rPr>
                <w:rFonts w:ascii="Arial" w:cs="Arial" w:eastAsia="Arial" w:hAnsi="Arial"/>
                <w:color w:val="555555"/>
                <w:sz w:val="20"/>
                <w:szCs w:val="20"/>
              </w:rPr>
              <w:t xml:space="preserve">○  D. Avoid mentioning the myth at all</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66534" w:val="clear"/>
            <w:tcMar>
              <w:top w:type="dxa" w:w="240"/>
              <w:left w:type="dxa" w:w="360"/>
              <w:bottom w:type="dxa" w:w="240"/>
              <w:right w:type="dxa" w:w="360"/>
            </w:tcMar>
          </w:tcPr>
          <w:p>
            <w:pPr>
              <w:spacing w:after="60"/>
            </w:pPr>
            <w:r>
              <w:rPr>
                <w:rFonts w:ascii="Arial" w:cs="Arial" w:eastAsia="Arial" w:hAnsi="Arial"/>
                <w:b/>
                <w:bCs/>
                <w:color w:val="88aacc"/>
                <w:sz w:val="16"/>
                <w:szCs w:val="16"/>
              </w:rPr>
              <w:t xml:space="preserve">UNIT 6  ·  Weeks 11–12</w:t>
            </w:r>
          </w:p>
          <w:p>
            <w:r>
              <w:rPr>
                <w:rFonts w:ascii="Arial" w:cs="Arial" w:eastAsia="Arial" w:hAnsi="Arial"/>
                <w:b/>
                <w:bCs/>
                <w:color w:val="ffffff"/>
                <w:sz w:val="28"/>
                <w:szCs w:val="28"/>
              </w:rPr>
              <w:t xml:space="preserve">Policy, Institutions &amp; Rebuilding Trust</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LESSON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8960"/>
      </w:tblGrid>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1</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Public trust in science is not primarily about scientific knowledge — it is about whether people believe scientific institutions share their values and act in their interests. Literacy interventions alone are insufficient.</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2</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Institutional behaviour is the foundation of trust: every time political pressure overrides scientific recommendation, it validates the antiscience narrative that science is just another interest group.</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3</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Key structural reforms with the strongest evidence base: multi-year scientific funding independence, mandatory open access for publicly funded research, and preregistration requirements.</w:t>
            </w:r>
          </w:p>
        </w:tc>
      </w:tr>
      <w:tr>
        <w:tc>
          <w:tcPr>
            <w:tcW w:type="dxa" w:w="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4</w:t>
            </w:r>
          </w:p>
        </w:tc>
        <w:tc>
          <w:tcPr>
            <w:tcW w:type="dxa" w:w="89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color w:val="1a1a1a"/>
                <w:sz w:val="20"/>
                <w:szCs w:val="20"/>
              </w:rPr>
              <w:t xml:space="preserve">Effective science communication requires professional translation infrastructure — not press releases but genuine engagement units staffed by people who understand both the research and the public.</w:t>
            </w:r>
          </w:p>
        </w:tc>
      </w:tr>
      <w:tr>
        <w:tc>
          <w:tcPr>
            <w:tcW w:type="dxa" w:w="40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60"/>
            </w:tcMar>
          </w:tcPr>
          <w:p>
            <w:pPr>
              <w:jc w:val="center"/>
            </w:pPr>
            <w:r>
              <w:rPr>
                <w:rFonts w:ascii="Arial" w:cs="Arial" w:eastAsia="Arial" w:hAnsi="Arial"/>
                <w:b/>
                <w:bCs/>
                <w:color w:val="2563a8"/>
                <w:sz w:val="20"/>
                <w:szCs w:val="20"/>
              </w:rPr>
              <w:t xml:space="preserve">5</w:t>
            </w:r>
          </w:p>
        </w:tc>
        <w:tc>
          <w:tcPr>
            <w:tcW w:type="dxa" w:w="8960"/>
            <w:tcBorders>
              <w:top w:val="single" w:color="cccccc" w:sz="1"/>
              <w:left w:val="single" w:color="cccccc" w:sz="1"/>
              <w:bottom w:val="single" w:color="cccccc" w:sz="1"/>
              <w:right w:val="single" w:color="cccccc" w:sz="1"/>
            </w:tcBorders>
            <w:shd w:fill="dbeafe" w:val="clear"/>
            <w:tcMar>
              <w:top w:type="dxa" w:w="60"/>
              <w:left w:type="dxa" w:w="120"/>
              <w:bottom w:type="dxa" w:w="60"/>
              <w:right w:type="dxa" w:w="120"/>
            </w:tcMar>
          </w:tcPr>
          <w:p>
            <w:r>
              <w:rPr>
                <w:rFonts w:ascii="Arial" w:cs="Arial" w:eastAsia="Arial" w:hAnsi="Arial"/>
                <w:color w:val="1a1a1a"/>
                <w:sz w:val="20"/>
                <w:szCs w:val="20"/>
              </w:rPr>
              <w:t xml:space="preserve">The Finnish model demonstrates that integrating media and information literacy into national core curricula produces measurable, population-level increases in resilience to misinformation.</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ef3fb" w:val="clear"/>
            <w:tcMar>
              <w:top w:type="dxa" w:w="120"/>
              <w:left w:type="dxa" w:w="200"/>
              <w:bottom w:type="dxa" w:w="120"/>
              <w:right w:type="dxa" w:w="200"/>
            </w:tcMar>
          </w:tcPr>
          <w:p>
            <w:pPr>
              <w:spacing w:after="60"/>
            </w:pPr>
            <w:r>
              <w:rPr>
                <w:rFonts w:ascii="Arial" w:cs="Arial" w:eastAsia="Arial" w:hAnsi="Arial"/>
                <w:b/>
                <w:bCs/>
                <w:color w:val="2563a8"/>
                <w:spacing w:val="40"/>
                <w:sz w:val="16"/>
                <w:szCs w:val="16"/>
              </w:rPr>
              <w:t xml:space="preserve">KEY CONCEPT  —  Trust Is Relational, Not Informational</w:t>
            </w:r>
          </w:p>
          <w:p>
            <w:r>
              <w:rPr>
                <w:rFonts w:ascii="Arial" w:cs="Arial" w:eastAsia="Arial" w:hAnsi="Arial"/>
                <w:i/>
                <w:iCs/>
                <w:color w:val="1a3a5c"/>
                <w:sz w:val="20"/>
                <w:szCs w:val="20"/>
              </w:rPr>
              <w:t xml:space="preserve">'The public doesn't distrust science — they distrust scientists' institutions. These are different problems with different solutions.' Institutional reform, not just better communication, is the foundation of durable trust.</w:t>
            </w:r>
          </w:p>
        </w:tc>
      </w:tr>
    </w:tbl>
    <w:p>
      <w:pPr>
        <w:spacing w:after="0" w:before="120"/>
      </w:pPr>
      <w:r>
        <w:t xml:space="preserve"/>
      </w:r>
    </w:p>
    <w:p>
      <w:pPr>
        <w:spacing w:after="80" w:before="240"/>
      </w:pPr>
      <w:r>
        <w:rPr>
          <w:rFonts w:ascii="Arial" w:cs="Arial" w:eastAsia="Arial" w:hAnsi="Arial"/>
          <w:b/>
          <w:bCs/>
          <w:color w:val="2563a8"/>
          <w:spacing w:val="40"/>
          <w:sz w:val="18"/>
          <w:szCs w:val="18"/>
        </w:rPr>
        <w:t xml:space="preserve">◆  KEY VOCABULARY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Term</w:t>
            </w:r>
          </w:p>
        </w:tc>
        <w:tc>
          <w:tcPr>
            <w:tcW w:type="dxa" w:w="636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My definition (in my own words)</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Preregistration</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Open access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Precautionary principle</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Evidence-based policy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b/>
                <w:bCs/>
                <w:color w:val="2563a8"/>
                <w:sz w:val="20"/>
                <w:szCs w:val="20"/>
              </w:rPr>
              <w:t xml:space="preserve">Science literacy</w:t>
            </w:r>
          </w:p>
        </w:tc>
        <w:tc>
          <w:tcPr>
            <w:tcW w:type="dxa" w:w="6360"/>
            <w:tcBorders>
              <w:top w:val="single" w:color="cccccc" w:sz="1"/>
              <w:left w:val="single" w:color="cccccc" w:sz="1"/>
              <w:bottom w:val="single" w:color="cccccc" w:sz="1"/>
              <w:right w:val="single" w:color="cccccc" w:sz="1"/>
            </w:tcBorders>
            <w:shd w:fill="dbeafe" w:val="clear"/>
            <w:tcMar>
              <w:top w:type="dxa" w:w="80"/>
              <w:left w:type="dxa" w:w="120"/>
              <w:bottom w:type="dxa" w:w="80"/>
              <w:right w:type="dxa" w:w="120"/>
            </w:tcMar>
          </w:tcPr>
          <w:p>
            <w:r>
              <w:rPr>
                <w:rFonts w:ascii="Arial" w:cs="Arial" w:eastAsia="Arial" w:hAnsi="Arial"/>
                <w:sz w:val="20"/>
                <w:szCs w:val="20"/>
              </w:rPr>
              <w:t xml:space="preserve"> </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2563a8"/>
                <w:sz w:val="20"/>
                <w:szCs w:val="20"/>
              </w:rPr>
              <w:t xml:space="preserve">Trusted intermediaries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0"/>
                <w:szCs w:val="20"/>
              </w:rPr>
              <w:t xml:space="preserve"> </w:t>
            </w:r>
          </w:p>
        </w:tc>
      </w:tr>
    </w:tbl>
    <w:p>
      <w:pPr>
        <w:spacing w:after="0" w:before="120"/>
      </w:pPr>
      <w:r>
        <w:t xml:space="preserve"/>
      </w:r>
    </w:p>
    <w:p>
      <w:pPr>
        <w:spacing w:after="80" w:before="240"/>
      </w:pPr>
      <w:r>
        <w:rPr>
          <w:rFonts w:ascii="Arial" w:cs="Arial" w:eastAsia="Arial" w:hAnsi="Arial"/>
          <w:b/>
          <w:bCs/>
          <w:color w:val="92400e"/>
          <w:spacing w:val="40"/>
          <w:sz w:val="18"/>
          <w:szCs w:val="18"/>
        </w:rPr>
        <w:t xml:space="preserve">◆  REFLECTION QUESTIONS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Think of a specific instance in which a government or institution made a decision that contradicted scientific advice for political reasons. What was the effect on public trust? What should have been done differently?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100"/>
              <w:left w:type="dxa" w:w="200"/>
              <w:bottom w:type="dxa" w:w="60"/>
              <w:right w:type="dxa" w:w="200"/>
            </w:tcMar>
          </w:tcPr>
          <w:p>
            <w:pPr>
              <w:spacing w:after="0"/>
            </w:pPr>
            <w:r>
              <w:rPr>
                <w:rFonts w:ascii="Arial" w:cs="Arial" w:eastAsia="Arial" w:hAnsi="Arial"/>
                <w:b/>
                <w:bCs/>
                <w:color w:val="92400e"/>
                <w:spacing w:val="40"/>
                <w:sz w:val="16"/>
                <w:szCs w:val="16"/>
              </w:rPr>
              <w:t xml:space="preserve">✎  REFLECTION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ffbeb" w:val="clear"/>
            <w:tcMar>
              <w:top w:type="dxa" w:w="0"/>
              <w:left w:type="dxa" w:w="200"/>
              <w:bottom w:type="dxa" w:w="100"/>
              <w:right w:type="dxa" w:w="200"/>
            </w:tcMar>
          </w:tcPr>
          <w:p>
            <w:r>
              <w:rPr>
                <w:rFonts w:ascii="Arial" w:cs="Arial" w:eastAsia="Arial" w:hAnsi="Arial"/>
                <w:color w:val="78350f"/>
                <w:sz w:val="20"/>
                <w:szCs w:val="20"/>
              </w:rPr>
              <w:t xml:space="preserve">The Finnish model integrates media literacy into the national curriculum. What would it take to implement something similar in your own educational or professional context? What obstacles would you face, and how might they be overcome?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r>
        <w:tc>
          <w:tcPr>
            <w:tcW w:type="dxa" w:w="9360"/>
            <w:tcBorders>
              <w:top w:val="none" w:color="ffffff" w:sz="0"/>
              <w:left w:val="none" w:color="ffffff" w:sz="0"/>
              <w:bottom w:val="single" w:color="cccccc" w:sz="1"/>
              <w:right w:val="none" w:color="ffffff" w:sz="0"/>
            </w:tcBorders>
            <w:tcMar>
              <w:top w:type="dxa" w:w="40"/>
              <w:left w:type="dxa" w:w="0"/>
              <w:bottom w:type="dxa" w:w="40"/>
              <w:right w:type="dxa" w:w="0"/>
            </w:tcMar>
          </w:tcPr>
          <w:p>
            <w:r>
              <w:rPr>
                <w:rFonts w:ascii="Arial" w:cs="Arial" w:eastAsia="Arial" w:hAnsi="Arial"/>
                <w:sz w:val="20"/>
                <w:szCs w:val="20"/>
              </w:rPr>
              <w:t xml:space="preserve"/>
            </w:r>
          </w:p>
        </w:tc>
      </w:tr>
    </w:tbl>
    <w:p>
      <w:pPr>
        <w:spacing w:after="0" w:before="120"/>
      </w:pPr>
      <w:r>
        <w:t xml:space="preserve"/>
      </w:r>
    </w:p>
    <w:p>
      <w:pPr>
        <w:spacing w:after="80" w:before="240"/>
      </w:pPr>
      <w:r>
        <w:rPr>
          <w:rFonts w:ascii="Arial" w:cs="Arial" w:eastAsia="Arial" w:hAnsi="Arial"/>
          <w:b/>
          <w:bCs/>
          <w:color w:val="0e7490"/>
          <w:spacing w:val="40"/>
          <w:sz w:val="18"/>
          <w:szCs w:val="18"/>
        </w:rPr>
        <w:t xml:space="preserve">◆  ACTIVITY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0f2f7" w:val="clear"/>
            <w:tcMar>
              <w:top w:type="dxa" w:w="120"/>
              <w:left w:type="dxa" w:w="200"/>
              <w:bottom w:type="dxa" w:w="120"/>
              <w:right w:type="dxa" w:w="200"/>
            </w:tcMar>
          </w:tcPr>
          <w:p>
            <w:pPr>
              <w:spacing w:after="60"/>
            </w:pPr>
            <w:r>
              <w:rPr>
                <w:rFonts w:ascii="Arial" w:cs="Arial" w:eastAsia="Arial" w:hAnsi="Arial"/>
                <w:b/>
                <w:bCs/>
                <w:color w:val="0e7490"/>
                <w:spacing w:val="40"/>
                <w:sz w:val="16"/>
                <w:szCs w:val="16"/>
              </w:rPr>
              <w:t xml:space="preserve">✦  ACTIVITY  —  DRAFT A POLICY RECOMMENDATION</w:t>
            </w:r>
          </w:p>
          <w:p>
            <w:pPr>
              <w:spacing w:after="80"/>
            </w:pPr>
            <w:r>
              <w:rPr>
                <w:rFonts w:ascii="Arial" w:cs="Arial" w:eastAsia="Arial" w:hAnsi="Arial"/>
                <w:color w:val="134e4a"/>
                <w:sz w:val="20"/>
                <w:szCs w:val="20"/>
              </w:rPr>
              <w:t xml:space="preserve">You have been asked to brief a school board on one specific antiscience challenge affecting your community (e.g. vaccine hesitancy among parents, climate misinformation in student social media use, or distrust of public health guidance). Draft a one-page policy brief with the following sections:</w:t>
            </w:r>
          </w:p>
          <w:p>
            <w:pPr>
              <w:spacing w:after="40" w:before="40"/>
              <w:ind w:left="240"/>
            </w:pPr>
            <w:r>
              <w:rPr>
                <w:rFonts w:ascii="Arial" w:cs="Arial" w:eastAsia="Arial" w:hAnsi="Arial"/>
                <w:color w:val="134e4a"/>
                <w:sz w:val="20"/>
                <w:szCs w:val="20"/>
              </w:rPr>
              <w:t xml:space="preserve">1.  The problem: What specific antiscience challenge are you addressing? What are its causes and effects?</w:t>
            </w:r>
          </w:p>
          <w:p>
            <w:pPr>
              <w:spacing w:after="40" w:before="40"/>
              <w:ind w:left="240"/>
            </w:pPr>
            <w:r>
              <w:rPr>
                <w:rFonts w:ascii="Arial" w:cs="Arial" w:eastAsia="Arial" w:hAnsi="Arial"/>
                <w:color w:val="134e4a"/>
                <w:sz w:val="20"/>
                <w:szCs w:val="20"/>
              </w:rPr>
              <w:t xml:space="preserve">2.  The evidence: Which course readings or research findings are most relevant? Cite at least three.</w:t>
            </w:r>
          </w:p>
          <w:p>
            <w:pPr>
              <w:spacing w:after="40" w:before="40"/>
              <w:ind w:left="240"/>
            </w:pPr>
            <w:r>
              <w:rPr>
                <w:rFonts w:ascii="Arial" w:cs="Arial" w:eastAsia="Arial" w:hAnsi="Arial"/>
                <w:color w:val="134e4a"/>
                <w:sz w:val="20"/>
                <w:szCs w:val="20"/>
              </w:rPr>
              <w:t xml:space="preserve">3.  The recommendations: Propose two specific, actionable, evidence-based interventions.</w:t>
            </w:r>
          </w:p>
          <w:p>
            <w:pPr>
              <w:spacing w:after="40" w:before="40"/>
              <w:ind w:left="240"/>
            </w:pPr>
            <w:r>
              <w:rPr>
                <w:rFonts w:ascii="Arial" w:cs="Arial" w:eastAsia="Arial" w:hAnsi="Arial"/>
                <w:color w:val="134e4a"/>
                <w:sz w:val="20"/>
                <w:szCs w:val="20"/>
              </w:rPr>
              <w:t xml:space="preserve">4.  The limitations: What are the risks or limitations of your recommendations?</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de9fe" w:val="clear"/>
            <w:tcMar>
              <w:top w:type="dxa" w:w="120"/>
              <w:left w:type="dxa" w:w="200"/>
              <w:bottom w:type="dxa" w:w="120"/>
              <w:right w:type="dxa" w:w="200"/>
            </w:tcMar>
          </w:tcPr>
          <w:p>
            <w:pPr>
              <w:spacing w:after="60"/>
            </w:pPr>
            <w:r>
              <w:rPr>
                <w:rFonts w:ascii="Arial" w:cs="Arial" w:eastAsia="Arial" w:hAnsi="Arial"/>
                <w:b/>
                <w:bCs/>
                <w:color w:val="6d28d9"/>
                <w:spacing w:val="40"/>
                <w:sz w:val="16"/>
                <w:szCs w:val="16"/>
              </w:rPr>
              <w:t xml:space="preserve">◉  CASE STUDY  —  SCIENCE COMMUNICATION DURING COVID-19</w:t>
            </w:r>
          </w:p>
          <w:p>
            <w:pPr>
              <w:spacing w:after="80"/>
            </w:pPr>
            <w:r>
              <w:rPr>
                <w:rFonts w:ascii="Arial" w:cs="Arial" w:eastAsia="Arial" w:hAnsi="Arial"/>
                <w:i/>
                <w:iCs/>
                <w:color w:val="3b0764"/>
                <w:sz w:val="20"/>
                <w:szCs w:val="20"/>
              </w:rPr>
              <w:t xml:space="preserve">The COVID-19 pandemic provided a real-time stress test for science communication and public trust. Early messaging was inconsistent (on mask use, surface transmission, and reinfection risk) as scientific understanding evolved rapidly. Some communicators were accused of overstating certainty; others of being too technical. Trust in public health institutions varied dramatically across political and demographic lines. Some jurisdictions (New Zealand, South Korea, Taiwan) achieved much better public compliance than others.</w:t>
            </w:r>
          </w:p>
          <w:p>
            <w:pPr>
              <w:spacing w:after="40"/>
            </w:pPr>
            <w:r>
              <w:rPr>
                <w:rFonts w:ascii="Arial" w:cs="Arial" w:eastAsia="Arial" w:hAnsi="Arial"/>
                <w:b/>
                <w:bCs/>
                <w:color w:val="3b0764"/>
                <w:sz w:val="20"/>
                <w:szCs w:val="20"/>
              </w:rPr>
              <w:t xml:space="preserve">Your tasks:</w:t>
            </w:r>
          </w:p>
          <w:p>
            <w:pPr>
              <w:spacing w:after="40" w:before="40"/>
              <w:ind w:left="240"/>
            </w:pPr>
            <w:r>
              <w:rPr>
                <w:rFonts w:ascii="Arial" w:cs="Arial" w:eastAsia="Arial" w:hAnsi="Arial"/>
                <w:color w:val="3b0764"/>
                <w:sz w:val="20"/>
                <w:szCs w:val="20"/>
              </w:rPr>
              <w:t xml:space="preserve">1.  Using the course frameworks, identify three specific communication failures during the COVID-19 pandemic and explain what went wrong in each case.</w:t>
            </w:r>
          </w:p>
          <w:p>
            <w:pPr>
              <w:spacing w:after="40" w:before="40"/>
              <w:ind w:left="240"/>
            </w:pPr>
            <w:r>
              <w:rPr>
                <w:rFonts w:ascii="Arial" w:cs="Arial" w:eastAsia="Arial" w:hAnsi="Arial"/>
                <w:color w:val="3b0764"/>
                <w:sz w:val="20"/>
                <w:szCs w:val="20"/>
              </w:rPr>
              <w:t xml:space="preserve">2.  What structural reforms — to institutions, funding, or communication infrastructure — might have produced better outcomes? Draw on at least two course readings.</w:t>
            </w:r>
          </w:p>
          <w:p>
            <w:pPr>
              <w:spacing w:after="40" w:before="40"/>
              <w:ind w:left="240"/>
            </w:pPr>
            <w:r>
              <w:rPr>
                <w:rFonts w:ascii="Arial" w:cs="Arial" w:eastAsia="Arial" w:hAnsi="Arial"/>
                <w:color w:val="3b0764"/>
                <w:sz w:val="20"/>
                <w:szCs w:val="20"/>
              </w:rPr>
              <w:t xml:space="preserve">3.  What does the variation in public trust and compliance across different countries suggest about the relative importance of institutional trust versus information quality?</w:t>
            </w:r>
          </w:p>
        </w:tc>
      </w:tr>
    </w:tbl>
    <w:p>
      <w:pPr>
        <w:spacing w:after="0" w:before="120"/>
      </w:pPr>
      <w:r>
        <w:t xml:space="preserve"/>
      </w:r>
    </w:p>
    <w:p>
      <w:pPr>
        <w:spacing w:after="80" w:before="240"/>
      </w:pPr>
      <w:r>
        <w:rPr>
          <w:rFonts w:ascii="Arial" w:cs="Arial" w:eastAsia="Arial" w:hAnsi="Arial"/>
          <w:b/>
          <w:bCs/>
          <w:color w:val="0f2642"/>
          <w:spacing w:val="40"/>
          <w:sz w:val="18"/>
          <w:szCs w:val="18"/>
        </w:rPr>
        <w:t xml:space="preserve">◆  KNOWLEDGE CHECK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0f2642" w:sz="12"/>
              <w:bottom w:val="single" w:color="cccccc" w:sz="1"/>
              <w:right w:val="none" w:color="ffffff" w:sz="0"/>
            </w:tcBorders>
            <w:shd w:fill="f2f2f2" w:val="clear"/>
            <w:tcMar>
              <w:top w:type="dxa" w:w="120"/>
              <w:left w:type="dxa" w:w="200"/>
              <w:bottom w:type="dxa" w:w="120"/>
              <w:right w:type="dxa" w:w="200"/>
            </w:tcMar>
          </w:tcPr>
          <w:p>
            <w:pPr>
              <w:spacing w:after="80"/>
            </w:pPr>
            <w:r>
              <w:rPr>
                <w:rFonts w:ascii="Arial" w:cs="Arial" w:eastAsia="Arial" w:hAnsi="Arial"/>
                <w:b/>
                <w:bCs/>
                <w:color w:val="0f2642"/>
                <w:spacing w:val="40"/>
                <w:sz w:val="16"/>
                <w:szCs w:val="16"/>
              </w:rPr>
              <w:t xml:space="preserve">?  KNOWLEDGE CHECK</w:t>
            </w:r>
          </w:p>
          <w:p>
            <w:pPr>
              <w:spacing w:after="20" w:before="80"/>
            </w:pPr>
            <w:r>
              <w:rPr>
                <w:rFonts w:ascii="Arial" w:cs="Arial" w:eastAsia="Arial" w:hAnsi="Arial"/>
                <w:b/>
                <w:bCs/>
                <w:color w:val="1a3a5c"/>
                <w:sz w:val="20"/>
                <w:szCs w:val="20"/>
              </w:rPr>
              <w:t xml:space="preserve">1.  Research suggests that low public trust in scientific institutions is primarily driven by:</w:t>
            </w:r>
          </w:p>
          <w:p>
            <w:pPr>
              <w:spacing w:after="0" w:before="20"/>
              <w:ind w:left="240"/>
            </w:pPr>
            <w:r>
              <w:rPr>
                <w:rFonts w:ascii="Arial" w:cs="Arial" w:eastAsia="Arial" w:hAnsi="Arial"/>
                <w:color w:val="555555"/>
                <w:sz w:val="20"/>
                <w:szCs w:val="20"/>
              </w:rPr>
              <w:t xml:space="preserve">○  A. Insufficient scientific literacy</w:t>
            </w:r>
          </w:p>
          <w:p>
            <w:pPr>
              <w:spacing w:after="0" w:before="20"/>
              <w:ind w:left="240"/>
            </w:pPr>
            <w:r>
              <w:rPr>
                <w:rFonts w:ascii="Arial" w:cs="Arial" w:eastAsia="Arial" w:hAnsi="Arial"/>
                <w:color w:val="555555"/>
                <w:sz w:val="20"/>
                <w:szCs w:val="20"/>
              </w:rPr>
              <w:t xml:space="preserve">○  B. Social media misinformation exposure</w:t>
            </w:r>
          </w:p>
          <w:p>
            <w:pPr>
              <w:spacing w:after="0" w:before="20"/>
              <w:ind w:left="240"/>
            </w:pPr>
            <w:r>
              <w:rPr>
                <w:rFonts w:ascii="Arial" w:cs="Arial" w:eastAsia="Arial" w:hAnsi="Arial"/>
                <w:color w:val="555555"/>
                <w:sz w:val="20"/>
                <w:szCs w:val="20"/>
              </w:rPr>
              <w:t xml:space="preserve">○  C. Distrust of institutions' values and motives, not lack of scientific knowledge</w:t>
            </w:r>
          </w:p>
          <w:p>
            <w:pPr>
              <w:spacing w:after="0" w:before="20"/>
              <w:ind w:left="240"/>
            </w:pPr>
            <w:r>
              <w:rPr>
                <w:rFonts w:ascii="Arial" w:cs="Arial" w:eastAsia="Arial" w:hAnsi="Arial"/>
                <w:color w:val="555555"/>
                <w:sz w:val="20"/>
                <w:szCs w:val="20"/>
              </w:rPr>
              <w:t xml:space="preserve">○  D. A general decline in respect for expertise</w:t>
            </w:r>
          </w:p>
          <w:p>
            <w:pPr>
              <w:spacing w:after="20" w:before="80"/>
            </w:pPr>
            <w:r>
              <w:rPr>
                <w:rFonts w:ascii="Arial" w:cs="Arial" w:eastAsia="Arial" w:hAnsi="Arial"/>
                <w:b/>
                <w:bCs/>
                <w:color w:val="1a3a5c"/>
                <w:sz w:val="20"/>
                <w:szCs w:val="20"/>
              </w:rPr>
              <w:t xml:space="preserve">2.  Preregistration of scientific studies requires researchers to:</w:t>
            </w:r>
          </w:p>
          <w:p>
            <w:pPr>
              <w:spacing w:after="0" w:before="20"/>
              <w:ind w:left="240"/>
            </w:pPr>
            <w:r>
              <w:rPr>
                <w:rFonts w:ascii="Arial" w:cs="Arial" w:eastAsia="Arial" w:hAnsi="Arial"/>
                <w:color w:val="555555"/>
                <w:sz w:val="20"/>
                <w:szCs w:val="20"/>
              </w:rPr>
              <w:t xml:space="preserve">○  A. Register their names before publishing</w:t>
            </w:r>
          </w:p>
          <w:p>
            <w:pPr>
              <w:spacing w:after="0" w:before="20"/>
              <w:ind w:left="240"/>
            </w:pPr>
            <w:r>
              <w:rPr>
                <w:rFonts w:ascii="Arial" w:cs="Arial" w:eastAsia="Arial" w:hAnsi="Arial"/>
                <w:color w:val="555555"/>
                <w:sz w:val="20"/>
                <w:szCs w:val="20"/>
              </w:rPr>
              <w:t xml:space="preserve">○  B. Publicly commit to hypotheses and methods before collecting data</w:t>
            </w:r>
          </w:p>
          <w:p>
            <w:pPr>
              <w:spacing w:after="0" w:before="20"/>
              <w:ind w:left="240"/>
            </w:pPr>
            <w:r>
              <w:rPr>
                <w:rFonts w:ascii="Arial" w:cs="Arial" w:eastAsia="Arial" w:hAnsi="Arial"/>
                <w:color w:val="555555"/>
                <w:sz w:val="20"/>
                <w:szCs w:val="20"/>
              </w:rPr>
              <w:t xml:space="preserve">○  C. Register their institutions with a national body</w:t>
            </w:r>
          </w:p>
          <w:p>
            <w:pPr>
              <w:spacing w:after="0" w:before="20"/>
              <w:ind w:left="240"/>
            </w:pPr>
            <w:r>
              <w:rPr>
                <w:rFonts w:ascii="Arial" w:cs="Arial" w:eastAsia="Arial" w:hAnsi="Arial"/>
                <w:color w:val="555555"/>
                <w:sz w:val="20"/>
                <w:szCs w:val="20"/>
              </w:rPr>
              <w:t xml:space="preserve">○  D. Obtain government approval before beginning research</w:t>
            </w:r>
          </w:p>
        </w:tc>
      </w:tr>
    </w:tbl>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1a1a" w:val="clear"/>
            <w:tcMar>
              <w:top w:type="dxa" w:w="280"/>
              <w:left w:type="dxa" w:w="400"/>
              <w:bottom w:type="dxa" w:w="280"/>
              <w:right w:type="dxa" w:w="400"/>
            </w:tcMar>
          </w:tcPr>
          <w:p>
            <w:pPr>
              <w:spacing w:after="60"/>
            </w:pPr>
            <w:r>
              <w:rPr>
                <w:rFonts w:ascii="Arial" w:cs="Arial" w:eastAsia="Arial" w:hAnsi="Arial"/>
                <w:b/>
                <w:bCs/>
                <w:color w:val="d4a017"/>
                <w:spacing w:val="100"/>
                <w:sz w:val="18"/>
                <w:szCs w:val="18"/>
              </w:rPr>
              <w:t xml:space="preserve">CAPSTONE SECTION</w:t>
            </w:r>
          </w:p>
          <w:p>
            <w:r>
              <w:rPr>
                <w:rFonts w:ascii="Arial" w:cs="Arial" w:eastAsia="Arial" w:hAnsi="Arial"/>
                <w:b/>
                <w:bCs/>
                <w:color w:val="ffffff"/>
                <w:sz w:val="30"/>
                <w:szCs w:val="30"/>
              </w:rPr>
              <w:t xml:space="preserve">Final Reflection &amp; Policy Brief</w:t>
            </w:r>
          </w:p>
        </w:tc>
      </w:tr>
    </w:tbl>
    <w:p>
      <w:pPr>
        <w:spacing w:after="0" w:before="120"/>
      </w:pPr>
      <w:r>
        <w:t xml:space="preserve"/>
      </w:r>
    </w:p>
    <w:p>
      <w:pPr>
        <w:spacing w:after="80" w:before="0"/>
      </w:pPr>
      <w:r>
        <w:rPr>
          <w:rFonts w:ascii="Arial" w:cs="Arial" w:eastAsia="Arial" w:hAnsi="Arial"/>
          <w:color w:val="1a1a1a"/>
          <w:sz w:val="20"/>
          <w:szCs w:val="20"/>
        </w:rPr>
        <w:t xml:space="preserve">The capstone section asks you to synthesise the full course and produce a final policy brief. This is your opportunity to demonstrate that you can apply the frameworks, evidence, and analytical tools from all six units to a real-world antiscience challenge.</w:t>
      </w:r>
    </w:p>
    <w:p>
      <w:pPr>
        <w:spacing w:after="0" w:before="80"/>
      </w:pPr>
      <w:r>
        <w:t xml:space="preserve"/>
      </w:r>
    </w:p>
    <w:p>
      <w:pPr>
        <w:spacing w:after="80" w:before="240"/>
      </w:pPr>
      <w:r>
        <w:rPr>
          <w:rFonts w:ascii="Arial" w:cs="Arial" w:eastAsia="Arial" w:hAnsi="Arial"/>
          <w:b/>
          <w:bCs/>
          <w:color w:val="2563a8"/>
          <w:spacing w:val="40"/>
          <w:sz w:val="18"/>
          <w:szCs w:val="18"/>
        </w:rPr>
        <w:t xml:space="preserve">◆  COURSE SYNTHESIS — WHAT HAVE YOU LEARNED?</w:t>
      </w:r>
    </w:p>
    <w:p>
      <w:pPr>
        <w:spacing w:after="60" w:before="0"/>
      </w:pPr>
      <w:r>
        <w:rPr>
          <w:rFonts w:ascii="Arial" w:cs="Arial" w:eastAsia="Arial" w:hAnsi="Arial"/>
          <w:color w:val="555555"/>
          <w:sz w:val="20"/>
          <w:szCs w:val="20"/>
        </w:rPr>
        <w:t xml:space="preserve">Before writing your policy brief, complete this synthesis exercise. For each unit, write one sentence capturing the most important thing you learned, and one question the unit left you with.</w:t>
      </w:r>
    </w:p>
    <w:p>
      <w:pPr>
        <w:spacing w:after="0" w:before="4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c>
          <w:tcPr>
            <w:tcW w:type="dxa" w:w="220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Unit</w:t>
            </w:r>
          </w:p>
        </w:tc>
        <w:tc>
          <w:tcPr>
            <w:tcW w:type="dxa" w:w="358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Most important insight</w:t>
            </w:r>
          </w:p>
        </w:tc>
        <w:tc>
          <w:tcPr>
            <w:tcW w:type="dxa" w:w="3580"/>
            <w:tcBorders>
              <w:top w:val="single" w:color="cccccc" w:sz="1"/>
              <w:left w:val="single" w:color="cccccc" w:sz="1"/>
              <w:bottom w:val="single" w:color="cccccc" w:sz="1"/>
              <w:right w:val="single" w:color="cccccc" w:sz="1"/>
            </w:tcBorders>
            <w:shd w:fill="0f2642" w:val="clear"/>
            <w:tcMar>
              <w:top w:type="dxa" w:w="80"/>
              <w:left w:type="dxa" w:w="120"/>
              <w:bottom w:type="dxa" w:w="80"/>
              <w:right w:type="dxa" w:w="120"/>
            </w:tcMar>
          </w:tcPr>
          <w:p>
            <w:r>
              <w:rPr>
                <w:rFonts w:ascii="Arial" w:cs="Arial" w:eastAsia="Arial" w:hAnsi="Arial"/>
                <w:b/>
                <w:bCs/>
                <w:color w:val="ffffff"/>
                <w:sz w:val="18"/>
                <w:szCs w:val="18"/>
              </w:rPr>
              <w:t xml:space="preserve">Question still open for me</w:t>
            </w:r>
          </w:p>
        </w:tc>
      </w:tr>
      <w:tr>
        <w:tc>
          <w:tcPr>
            <w:tcW w:type="dxa" w:w="220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b/>
                <w:bCs/>
                <w:color w:val="2563a8"/>
                <w:sz w:val="18"/>
                <w:szCs w:val="18"/>
              </w:rPr>
              <w:t xml:space="preserve">1 — Foundations</w:t>
            </w:r>
          </w:p>
        </w:tc>
        <w:tc>
          <w:tcPr>
            <w:tcW w:type="dxa" w:w="358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sz w:val="20"/>
                <w:szCs w:val="20"/>
              </w:rPr>
              <w:t xml:space="preserve"> </w:t>
            </w:r>
          </w:p>
        </w:tc>
        <w:tc>
          <w:tcPr>
            <w:tcW w:type="dxa" w:w="358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sz w:val="20"/>
                <w:szCs w:val="20"/>
              </w:rPr>
              <w:t xml:space="preserve"> </w:t>
            </w:r>
          </w:p>
        </w:tc>
      </w:tr>
      <w:tr>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b/>
                <w:bCs/>
                <w:color w:val="2563a8"/>
                <w:sz w:val="18"/>
                <w:szCs w:val="18"/>
              </w:rPr>
              <w:t xml:space="preserve">2 — Historical roots</w:t>
            </w:r>
          </w:p>
        </w:tc>
        <w:tc>
          <w:tcPr>
            <w:tcW w:type="dxa" w:w="358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sz w:val="20"/>
                <w:szCs w:val="20"/>
              </w:rPr>
              <w:t xml:space="preserve"> </w:t>
            </w:r>
          </w:p>
        </w:tc>
        <w:tc>
          <w:tcPr>
            <w:tcW w:type="dxa" w:w="358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sz w:val="20"/>
                <w:szCs w:val="20"/>
              </w:rPr>
              <w:t xml:space="preserve"> </w:t>
            </w:r>
          </w:p>
        </w:tc>
      </w:tr>
      <w:tr>
        <w:tc>
          <w:tcPr>
            <w:tcW w:type="dxa" w:w="220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b/>
                <w:bCs/>
                <w:color w:val="2563a8"/>
                <w:sz w:val="18"/>
                <w:szCs w:val="18"/>
              </w:rPr>
              <w:t xml:space="preserve">3 — Psychology</w:t>
            </w:r>
          </w:p>
        </w:tc>
        <w:tc>
          <w:tcPr>
            <w:tcW w:type="dxa" w:w="358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sz w:val="20"/>
                <w:szCs w:val="20"/>
              </w:rPr>
              <w:t xml:space="preserve"> </w:t>
            </w:r>
          </w:p>
        </w:tc>
        <w:tc>
          <w:tcPr>
            <w:tcW w:type="dxa" w:w="358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sz w:val="20"/>
                <w:szCs w:val="20"/>
              </w:rPr>
              <w:t xml:space="preserve"> </w:t>
            </w:r>
          </w:p>
        </w:tc>
      </w:tr>
      <w:tr>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b/>
                <w:bCs/>
                <w:color w:val="2563a8"/>
                <w:sz w:val="18"/>
                <w:szCs w:val="18"/>
              </w:rPr>
              <w:t xml:space="preserve">4 — Media &amp; digital</w:t>
            </w:r>
          </w:p>
        </w:tc>
        <w:tc>
          <w:tcPr>
            <w:tcW w:type="dxa" w:w="358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sz w:val="20"/>
                <w:szCs w:val="20"/>
              </w:rPr>
              <w:t xml:space="preserve"> </w:t>
            </w:r>
          </w:p>
        </w:tc>
        <w:tc>
          <w:tcPr>
            <w:tcW w:type="dxa" w:w="358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sz w:val="20"/>
                <w:szCs w:val="20"/>
              </w:rPr>
              <w:t xml:space="preserve"> </w:t>
            </w:r>
          </w:p>
        </w:tc>
      </w:tr>
      <w:tr>
        <w:tc>
          <w:tcPr>
            <w:tcW w:type="dxa" w:w="220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b/>
                <w:bCs/>
                <w:color w:val="2563a8"/>
                <w:sz w:val="18"/>
                <w:szCs w:val="18"/>
              </w:rPr>
              <w:t xml:space="preserve">5 — Inoculation</w:t>
            </w:r>
          </w:p>
        </w:tc>
        <w:tc>
          <w:tcPr>
            <w:tcW w:type="dxa" w:w="358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sz w:val="20"/>
                <w:szCs w:val="20"/>
              </w:rPr>
              <w:t xml:space="preserve"> </w:t>
            </w:r>
          </w:p>
        </w:tc>
        <w:tc>
          <w:tcPr>
            <w:tcW w:type="dxa" w:w="3580"/>
            <w:tcBorders>
              <w:top w:val="single" w:color="cccccc" w:sz="1"/>
              <w:left w:val="single" w:color="cccccc" w:sz="1"/>
              <w:bottom w:val="single" w:color="cccccc" w:sz="1"/>
              <w:right w:val="single" w:color="cccccc" w:sz="1"/>
            </w:tcBorders>
            <w:shd w:fill="dbeafe" w:val="clear"/>
            <w:tcMar>
              <w:top w:type="dxa" w:w="100"/>
              <w:left w:type="dxa" w:w="120"/>
              <w:bottom w:type="dxa" w:w="100"/>
              <w:right w:type="dxa" w:w="120"/>
            </w:tcMar>
          </w:tcPr>
          <w:p>
            <w:r>
              <w:rPr>
                <w:rFonts w:ascii="Arial" w:cs="Arial" w:eastAsia="Arial" w:hAnsi="Arial"/>
                <w:sz w:val="20"/>
                <w:szCs w:val="20"/>
              </w:rPr>
              <w:t xml:space="preserve"> </w:t>
            </w:r>
          </w:p>
        </w:tc>
      </w:tr>
      <w:tr>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b/>
                <w:bCs/>
                <w:color w:val="2563a8"/>
                <w:sz w:val="18"/>
                <w:szCs w:val="18"/>
              </w:rPr>
              <w:t xml:space="preserve">6 — Policy &amp; trust</w:t>
            </w:r>
          </w:p>
        </w:tc>
        <w:tc>
          <w:tcPr>
            <w:tcW w:type="dxa" w:w="358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sz w:val="20"/>
                <w:szCs w:val="20"/>
              </w:rPr>
              <w:t xml:space="preserve"> </w:t>
            </w:r>
          </w:p>
        </w:tc>
        <w:tc>
          <w:tcPr>
            <w:tcW w:type="dxa" w:w="358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r>
              <w:rPr>
                <w:rFonts w:ascii="Arial" w:cs="Arial" w:eastAsia="Arial" w:hAnsi="Arial"/>
                <w:sz w:val="20"/>
                <w:szCs w:val="20"/>
              </w:rPr>
              <w:t xml:space="preserve"> </w:t>
            </w:r>
          </w:p>
        </w:tc>
      </w:tr>
    </w:tbl>
    <w:p>
      <w:pPr>
        <w:spacing w:after="0" w:before="140"/>
      </w:pPr>
      <w:r>
        <w:t xml:space="preserve"/>
      </w:r>
    </w:p>
    <w:p>
      <w:pPr>
        <w:spacing w:after="80" w:before="240"/>
      </w:pPr>
      <w:r>
        <w:rPr>
          <w:rFonts w:ascii="Arial" w:cs="Arial" w:eastAsia="Arial" w:hAnsi="Arial"/>
          <w:b/>
          <w:bCs/>
          <w:color w:val="0f2642"/>
          <w:spacing w:val="40"/>
          <w:sz w:val="18"/>
          <w:szCs w:val="18"/>
        </w:rPr>
        <w:t xml:space="preserve">◆  FINAL POLICY BRIEF</w:t>
      </w:r>
    </w:p>
    <w:p>
      <w:pPr>
        <w:spacing w:after="80" w:before="0"/>
      </w:pPr>
      <w:r>
        <w:rPr>
          <w:rFonts w:ascii="Arial" w:cs="Arial" w:eastAsia="Arial" w:hAnsi="Arial"/>
          <w:color w:val="1a1a1a"/>
          <w:sz w:val="20"/>
          <w:szCs w:val="20"/>
        </w:rPr>
        <w:t xml:space="preserve">Write a 1,500-word policy brief addressed to a specific decision-maker of your choice (school board, public health department, university administration, or federal agency). Your brief must: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dcfce7" w:val="clear"/>
            <w:tcMar>
              <w:top w:type="dxa" w:w="120"/>
              <w:left w:type="dxa" w:w="200"/>
              <w:bottom w:type="dxa" w:w="120"/>
              <w:right w:type="dxa" w:w="200"/>
            </w:tcMar>
          </w:tcPr>
          <w:p>
            <w:pPr>
              <w:spacing w:after="80"/>
            </w:pPr>
            <w:r>
              <w:rPr>
                <w:rFonts w:ascii="Arial" w:cs="Arial" w:eastAsia="Arial" w:hAnsi="Arial"/>
                <w:b/>
                <w:bCs/>
                <w:color w:val="166534"/>
                <w:spacing w:val="40"/>
                <w:sz w:val="16"/>
                <w:szCs w:val="16"/>
              </w:rPr>
              <w:t xml:space="preserve">✓  POLICY BRIEF REQUIREMENTS</w:t>
            </w:r>
          </w:p>
          <w:p>
            <w:pPr>
              <w:spacing w:after="40" w:before="40"/>
            </w:pPr>
            <w:r>
              <w:rPr>
                <w:rFonts w:ascii="Arial" w:cs="Arial" w:eastAsia="Arial" w:hAnsi="Arial"/>
                <w:color w:val="14532d"/>
                <w:sz w:val="20"/>
                <w:szCs w:val="20"/>
              </w:rPr>
              <w:t xml:space="preserve">☐  Identify one specific antiscience problem in your professional or community context</w:t>
            </w:r>
          </w:p>
          <w:p>
            <w:pPr>
              <w:spacing w:after="40" w:before="40"/>
            </w:pPr>
            <w:r>
              <w:rPr>
                <w:rFonts w:ascii="Arial" w:cs="Arial" w:eastAsia="Arial" w:hAnsi="Arial"/>
                <w:color w:val="14532d"/>
                <w:sz w:val="20"/>
                <w:szCs w:val="20"/>
              </w:rPr>
              <w:t xml:space="preserve">☐  Draw on at least six course readings to analyse the problem's mechanisms</w:t>
            </w:r>
          </w:p>
          <w:p>
            <w:pPr>
              <w:spacing w:after="40" w:before="40"/>
            </w:pPr>
            <w:r>
              <w:rPr>
                <w:rFonts w:ascii="Arial" w:cs="Arial" w:eastAsia="Arial" w:hAnsi="Arial"/>
                <w:color w:val="14532d"/>
                <w:sz w:val="20"/>
                <w:szCs w:val="20"/>
              </w:rPr>
              <w:t xml:space="preserve">☐  Propose three evidence-based, actionable policy or educational interventions</w:t>
            </w:r>
          </w:p>
          <w:p>
            <w:pPr>
              <w:spacing w:after="40" w:before="40"/>
            </w:pPr>
            <w:r>
              <w:rPr>
                <w:rFonts w:ascii="Arial" w:cs="Arial" w:eastAsia="Arial" w:hAnsi="Arial"/>
                <w:color w:val="14532d"/>
                <w:sz w:val="20"/>
                <w:szCs w:val="20"/>
              </w:rPr>
              <w:t xml:space="preserve">☐  Acknowledge counterarguments and limitations of your recommendations</w:t>
            </w:r>
          </w:p>
          <w:p>
            <w:pPr>
              <w:spacing w:after="40" w:before="40"/>
            </w:pPr>
            <w:r>
              <w:rPr>
                <w:rFonts w:ascii="Arial" w:cs="Arial" w:eastAsia="Arial" w:hAnsi="Arial"/>
                <w:color w:val="14532d"/>
                <w:sz w:val="20"/>
                <w:szCs w:val="20"/>
              </w:rPr>
              <w:t xml:space="preserve">☐  Be addressed to a named decision-maker with specific institutional authority</w:t>
            </w:r>
          </w:p>
          <w:p>
            <w:pPr>
              <w:spacing w:after="40" w:before="40"/>
            </w:pPr>
            <w:r>
              <w:rPr>
                <w:rFonts w:ascii="Arial" w:cs="Arial" w:eastAsia="Arial" w:hAnsi="Arial"/>
                <w:color w:val="14532d"/>
                <w:sz w:val="20"/>
                <w:szCs w:val="20"/>
              </w:rPr>
              <w:t xml:space="preserve">☐  Include a bibliography of at least eight sources</w:t>
            </w:r>
          </w:p>
        </w:tc>
      </w:tr>
    </w:tbl>
    <w:p>
      <w:pPr>
        <w:spacing w:after="0" w:before="80"/>
      </w:pPr>
      <w:r>
        <w:t xml:space="preserve"/>
      </w:r>
    </w:p>
    <w:p>
      <w:pPr>
        <w:spacing w:after="20" w:before="40"/>
      </w:pPr>
      <w:r>
        <w:rPr>
          <w:rFonts w:ascii="Arial" w:cs="Arial" w:eastAsia="Arial" w:hAnsi="Arial"/>
          <w:b/>
          <w:bCs/>
          <w:color w:val="555555"/>
          <w:sz w:val="20"/>
          <w:szCs w:val="20"/>
        </w:rPr>
        <w:t xml:space="preserve">Decision-maker I am addressing: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40"/>
      </w:pPr>
      <w:r>
        <w:t xml:space="preserve"/>
      </w:r>
    </w:p>
    <w:p>
      <w:pPr>
        <w:spacing w:after="20" w:before="40"/>
      </w:pPr>
      <w:r>
        <w:rPr>
          <w:rFonts w:ascii="Arial" w:cs="Arial" w:eastAsia="Arial" w:hAnsi="Arial"/>
          <w:b/>
          <w:bCs/>
          <w:color w:val="555555"/>
          <w:sz w:val="20"/>
          <w:szCs w:val="20"/>
        </w:rPr>
        <w:t xml:space="preserve">The specific antiscience problem I am addressing: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40"/>
      </w:pPr>
      <w:r>
        <w:t xml:space="preserve"/>
      </w:r>
    </w:p>
    <w:p>
      <w:pPr>
        <w:spacing w:after="20" w:before="40"/>
      </w:pPr>
      <w:r>
        <w:rPr>
          <w:rFonts w:ascii="Arial" w:cs="Arial" w:eastAsia="Arial" w:hAnsi="Arial"/>
          <w:b/>
          <w:bCs/>
          <w:color w:val="555555"/>
          <w:sz w:val="20"/>
          <w:szCs w:val="20"/>
        </w:rPr>
        <w:t xml:space="preserve">My three proposed interventions (one sentence each):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40"/>
      </w:pPr>
      <w:r>
        <w:t xml:space="preserve"/>
      </w:r>
    </w:p>
    <w:p>
      <w:pPr>
        <w:spacing w:after="20" w:before="40"/>
      </w:pPr>
      <w:r>
        <w:rPr>
          <w:rFonts w:ascii="Arial" w:cs="Arial" w:eastAsia="Arial" w:hAnsi="Arial"/>
          <w:b/>
          <w:bCs/>
          <w:color w:val="555555"/>
          <w:sz w:val="20"/>
          <w:szCs w:val="20"/>
        </w:rPr>
        <w:t xml:space="preserve">Full policy brief (use additional paper or digital document as needed):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r>
        <w:tc>
          <w:tcPr>
            <w:tcW w:type="dxa" w:w="9360"/>
            <w:tcBorders>
              <w:top w:val="none" w:color="ffffff" w:sz="0"/>
              <w:left w:val="none" w:color="ffffff" w:sz="0"/>
              <w:bottom w:val="single" w:color="cccccc" w:sz="1"/>
              <w:right w:val="none" w:color="ffffff" w:sz="0"/>
            </w:tcBorders>
            <w:tcMar>
              <w:top w:type="dxa" w:w="60"/>
              <w:left w:type="dxa" w:w="0"/>
              <w:bottom w:type="dxa" w:w="0"/>
              <w:right w:type="dxa" w:w="0"/>
            </w:tcMar>
          </w:tcPr>
          <w:p>
            <w:r>
              <w:t xml:space="preserve"/>
            </w:r>
          </w:p>
        </w:tc>
      </w:tr>
    </w:tbl>
    <w:p>
      <w:pPr>
        <w:spacing w:after="0" w:before="160"/>
      </w:pPr>
      <w:r>
        <w:t xml:space="preserve"/>
      </w:r>
    </w:p>
    <w:p>
      <w:pPr>
        <w:jc w:val="center"/>
      </w:pPr>
      <w:r>
        <w:rPr>
          <w:rFonts w:ascii="Arial" w:cs="Arial" w:eastAsia="Arial" w:hAnsi="Arial"/>
          <w:i/>
          <w:iCs/>
          <w:color w:val="888888"/>
          <w:sz w:val="16"/>
          <w:szCs w:val="16"/>
        </w:rPr>
        <w:t xml:space="preserve">This workbook may be freely adapted for non-commercial educational use.</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6"/>
        <w:szCs w:val="16"/>
      </w:rPr>
      <w:t xml:space="preserve">Understanding Antiscience — Student Workbook  |  Page </w:t>
    </w:r>
    <w:r>
      <w:rPr>
        <w:rFonts w:ascii="Arial" w:cs="Arial" w:eastAsia="Arial" w:hAnsi="Arial"/>
        <w:color w:val="888888"/>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2026-05-17T18:01:44.942Z</dcterms:created>
  <dcterms:modified xsi:type="dcterms:W3CDTF">2026-05-17T18:01:44.955Z</dcterms:modified>
</cp:coreProperties>
</file>

<file path=docProps/custom.xml><?xml version="1.0" encoding="utf-8"?>
<Properties xmlns="http://schemas.openxmlformats.org/officeDocument/2006/custom-properties" xmlns:vt="http://schemas.openxmlformats.org/officeDocument/2006/docPropsVTypes"/>
</file>