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f2642" w:val="clear"/>
            <w:tcMar>
              <w:top w:type="dxa" w:w="480"/>
              <w:left w:type="dxa" w:w="480"/>
              <w:bottom w:type="dxa" w:w="480"/>
              <w:right w:type="dxa" w:w="480"/>
            </w:tcMar>
          </w:tcPr>
          <w:p>
            <w:pPr>
              <w:spacing w:after="80"/>
            </w:pPr>
            <w:r>
              <w:rPr>
                <w:rFonts w:ascii="Arial" w:cs="Arial" w:eastAsia="Arial" w:hAnsi="Arial"/>
                <w:b/>
                <w:bCs/>
                <w:color w:val="88aacc"/>
                <w:spacing w:val="120"/>
                <w:sz w:val="18"/>
                <w:szCs w:val="18"/>
              </w:rPr>
              <w:t xml:space="preserve">FACILITATOR'S GUIDE</w:t>
            </w:r>
          </w:p>
          <w:p>
            <w:pPr>
              <w:spacing w:after="60"/>
            </w:pPr>
            <w:r>
              <w:rPr>
                <w:rFonts w:ascii="Arial" w:cs="Arial" w:eastAsia="Arial" w:hAnsi="Arial"/>
                <w:b/>
                <w:bCs/>
                <w:color w:val="ffffff"/>
                <w:sz w:val="52"/>
                <w:szCs w:val="52"/>
              </w:rPr>
              <w:t xml:space="preserve">Understanding</w:t>
            </w:r>
          </w:p>
          <w:p>
            <w:pPr>
              <w:spacing w:after="120"/>
            </w:pPr>
            <w:r>
              <w:rPr>
                <w:rFonts w:ascii="Arial" w:cs="Arial" w:eastAsia="Arial" w:hAnsi="Arial"/>
                <w:b/>
                <w:bCs/>
                <w:color w:val="d4a017"/>
                <w:sz w:val="52"/>
                <w:szCs w:val="52"/>
              </w:rPr>
              <w:t xml:space="preserve">Antiscience</w:t>
            </w:r>
          </w:p>
          <w:p>
            <w:pPr>
              <w:spacing w:after="200"/>
            </w:pPr>
            <w:r>
              <w:rPr>
                <w:rFonts w:ascii="Arial" w:cs="Arial" w:eastAsia="Arial" w:hAnsi="Arial"/>
                <w:color w:val="aaccee"/>
                <w:sz w:val="18"/>
                <w:szCs w:val="18"/>
              </w:rPr>
              <w:t xml:space="preserve">Instructor notes · Discussion guides · Assessment rubrics · Facilitation strategies</w:t>
            </w:r>
          </w:p>
          <w:p>
            <w:pPr>
              <w:spacing w:after="40"/>
            </w:pPr>
            <w:r>
              <w:rPr>
                <w:rFonts w:ascii="Arial" w:cs="Arial" w:eastAsia="Arial" w:hAnsi="Arial"/>
                <w:color w:val="88aacc"/>
                <w:sz w:val="20"/>
                <w:szCs w:val="20"/>
              </w:rPr>
              <w:t xml:space="preserve">Instructor name:</w:t>
            </w:r>
          </w:p>
          <w:p>
            <w:r>
              <w:rPr>
                <w:rFonts w:ascii="Arial" w:cs="Arial" w:eastAsia="Arial" w:hAnsi="Arial"/>
                <w:color w:val="aaccee"/>
                <w:sz w:val="20"/>
                <w:szCs w:val="20"/>
              </w:rPr>
              <w:t xml:space="preserve">_________________________________________________</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pPr>
              <w:jc w:val="center"/>
            </w:pPr>
            <w:r>
              <w:rPr>
                <w:rFonts w:ascii="Arial" w:cs="Arial" w:eastAsia="Arial" w:hAnsi="Arial"/>
                <w:b/>
                <w:bCs/>
                <w:color w:val="0f2642"/>
                <w:sz w:val="24"/>
                <w:szCs w:val="24"/>
              </w:rPr>
              <w:t xml:space="preserve">8 sections</w:t>
            </w:r>
            <w:r>
              <w:rPr>
                <w:rFonts w:ascii="Arial" w:cs="Arial" w:eastAsia="Arial" w:hAnsi="Arial"/>
                <w:color w:val="555555"/>
                <w:sz w:val="16"/>
                <w:szCs w:val="16"/>
              </w:rPr>
              <w:br/>
              <w:t xml:space="preserve">Intro + 6 units + capstone</w:t>
            </w:r>
          </w:p>
        </w:tc>
        <w:tc>
          <w:tcPr>
            <w:tcW w:type="dxa" w:w="312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pPr>
              <w:jc w:val="center"/>
            </w:pPr>
            <w:r>
              <w:rPr>
                <w:rFonts w:ascii="Arial" w:cs="Arial" w:eastAsia="Arial" w:hAnsi="Arial"/>
                <w:b/>
                <w:bCs/>
                <w:color w:val="0f2642"/>
                <w:sz w:val="24"/>
                <w:szCs w:val="24"/>
              </w:rPr>
              <w:t xml:space="preserve">30+ discussion prompts</w:t>
            </w:r>
            <w:r>
              <w:rPr>
                <w:rFonts w:ascii="Arial" w:cs="Arial" w:eastAsia="Arial" w:hAnsi="Arial"/>
                <w:color w:val="555555"/>
                <w:sz w:val="16"/>
                <w:szCs w:val="16"/>
              </w:rPr>
              <w:br/>
              <w:t xml:space="preserve">With facilitation notes</w:t>
            </w:r>
          </w:p>
        </w:tc>
        <w:tc>
          <w:tcPr>
            <w:tcW w:type="dxa" w:w="312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pPr>
              <w:jc w:val="center"/>
            </w:pPr>
            <w:r>
              <w:rPr>
                <w:rFonts w:ascii="Arial" w:cs="Arial" w:eastAsia="Arial" w:hAnsi="Arial"/>
                <w:b/>
                <w:bCs/>
                <w:color w:val="0f2642"/>
                <w:sz w:val="24"/>
                <w:szCs w:val="24"/>
              </w:rPr>
              <w:t xml:space="preserve">Full assessment rubrics</w:t>
            </w:r>
            <w:r>
              <w:rPr>
                <w:rFonts w:ascii="Arial" w:cs="Arial" w:eastAsia="Arial" w:hAnsi="Arial"/>
                <w:color w:val="555555"/>
                <w:sz w:val="16"/>
                <w:szCs w:val="16"/>
              </w:rPr>
              <w:br/>
              <w:t xml:space="preserve">For all major assignments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FACILITATOR'S GUIDE</w:t>
            </w:r>
          </w:p>
          <w:p>
            <w:r>
              <w:rPr>
                <w:rFonts w:ascii="Arial" w:cs="Arial" w:eastAsia="Arial" w:hAnsi="Arial"/>
                <w:b/>
                <w:bCs/>
                <w:color w:val="ffffff"/>
                <w:sz w:val="26"/>
                <w:szCs w:val="26"/>
              </w:rPr>
              <w:t xml:space="preserve">How to Use This Guide</w:t>
            </w:r>
          </w:p>
        </w:tc>
      </w:tr>
    </w:tbl>
    <w:p>
      <w:pPr>
        <w:spacing w:after="0" w:before="120"/>
      </w:pPr>
      <w:r>
        <w:t xml:space="preserve"/>
      </w:r>
    </w:p>
    <w:p>
      <w:pPr>
        <w:spacing w:after="60" w:before="60"/>
      </w:pPr>
      <w:r>
        <w:rPr>
          <w:rFonts w:ascii="Arial" w:cs="Arial" w:eastAsia="Arial" w:hAnsi="Arial"/>
          <w:color w:val="1a1a1a"/>
          <w:sz w:val="20"/>
          <w:szCs w:val="20"/>
        </w:rPr>
        <w:t xml:space="preserve">This guide is designed for instructors teaching the Understanding Antiscience course, whether in a university seminar, professional development, or continuing education context. Each unit section contains: a unit overview and learning objectives, a suggested session plan with timing, discussion facilitation notes, activity debriefs, case study guidance, assessment rubrics, and common student misconceptions to anticipate.</w:t>
      </w:r>
    </w:p>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Pedagogical Principles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CORE APPROACH</w:t>
            </w:r>
          </w:p>
          <w:p>
            <w:pPr>
              <w:spacing w:after="40" w:before="40"/>
            </w:pPr>
            <w:r>
              <w:rPr>
                <w:rFonts w:ascii="Arial" w:cs="Arial" w:eastAsia="Arial" w:hAnsi="Arial"/>
                <w:color w:val="1a1a1a"/>
                <w:sz w:val="20"/>
                <w:szCs w:val="20"/>
              </w:rPr>
              <w:t xml:space="preserve">This course is built on the constructivist premise that students learn best by actively applying frameworks, not passively receiving information. Prioritise discussion, application, and critical analysis over lecture.</w:t>
            </w:r>
          </w:p>
          <w:p>
            <w:pPr>
              <w:spacing w:after="40" w:before="40"/>
            </w:pPr>
            <w:r>
              <w:rPr>
                <w:rFonts w:ascii="Arial" w:cs="Arial" w:eastAsia="Arial" w:hAnsi="Arial"/>
                <w:color w:val="1a1a1a"/>
                <w:sz w:val="20"/>
                <w:szCs w:val="20"/>
              </w:rPr>
              <w:t xml:space="preserve">Antiscience is a sensitive topic. Students may hold beliefs that are challenged by course material, or may come from communities where antiscience positions are prevalent. Maintain a non-judgmental, inquiry-first classroom culture.</w:t>
            </w:r>
          </w:p>
          <w:p>
            <w:pPr>
              <w:spacing w:after="40" w:before="40"/>
            </w:pPr>
            <w:r>
              <w:rPr>
                <w:rFonts w:ascii="Arial" w:cs="Arial" w:eastAsia="Arial" w:hAnsi="Arial"/>
                <w:color w:val="1a1a1a"/>
                <w:sz w:val="20"/>
                <w:szCs w:val="20"/>
              </w:rPr>
              <w:t xml:space="preserve">The course is explicitly interdisciplinary. Embrace methodological diversity — the cognitive psychology of Unit 3 complements but does not replace the historical analysis of Unit 2.</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Course Formats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12-week semester seminar (weekly 90-min sessions)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One unit per two weeks; discussion + activity each session</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90 min × 12</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Intensive 6-day workshop</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One unit per day; lecture + discussion + activity + quiz</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Full day × 6</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Self-directed online (using LMS)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Students work independently; weekly synchronous discussion</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Async + 60 min sync</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Professional development (2-day condensed)</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Units 1–3 Day 1; Units 4–6 + Capstone Day 2</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7 hrs × 2 days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Assessment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0"/>
        <w:gridCol w:w="2400"/>
        <w:gridCol w:w="2160"/>
      </w:tblGrid>
      <w:tr>
        <w:tc>
          <w:tcPr>
            <w:tcW w:type="dxa" w:w="4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Assessment</w:t>
            </w:r>
          </w:p>
        </w:tc>
        <w:tc>
          <w:tcPr>
            <w:tcW w:type="dxa" w:w="24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Weight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Due</w:t>
            </w:r>
          </w:p>
        </w:tc>
      </w:tr>
      <w:tr>
        <w:tc>
          <w:tcPr>
            <w:tcW w:type="dxa" w:w="4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Weekly discussion participation</w:t>
            </w:r>
          </w:p>
        </w:tc>
        <w:tc>
          <w:tcPr>
            <w:tcW w:type="dxa" w:w="24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20%</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Ongoing</w:t>
            </w:r>
          </w:p>
        </w:tc>
      </w:tr>
      <w:tr>
        <w:tc>
          <w:tcPr>
            <w:tcW w:type="dxa" w:w="4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Unit 2 case study (800 words)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20%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End of Week 4</w:t>
            </w:r>
          </w:p>
        </w:tc>
      </w:tr>
      <w:tr>
        <w:tc>
          <w:tcPr>
            <w:tcW w:type="dxa" w:w="4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Unit 4 media tracing exercise</w:t>
            </w:r>
          </w:p>
        </w:tc>
        <w:tc>
          <w:tcPr>
            <w:tcW w:type="dxa" w:w="24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20%</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End of Week 8</w:t>
            </w:r>
          </w:p>
        </w:tc>
      </w:tr>
      <w:tr>
        <w:tc>
          <w:tcPr>
            <w:tcW w:type="dxa" w:w="4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Final policy brief (1,500 words)</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40%</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End of Week 12</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f2642"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1  ·  Weeks 1–2</w:t>
            </w:r>
          </w:p>
          <w:p>
            <w:r>
              <w:rPr>
                <w:rFonts w:ascii="Arial" w:cs="Arial" w:eastAsia="Arial" w:hAnsi="Arial"/>
                <w:b/>
                <w:bCs/>
                <w:color w:val="ffffff"/>
                <w:sz w:val="26"/>
                <w:szCs w:val="26"/>
              </w:rPr>
              <w:t xml:space="preserve">Foundations: What Is Antiscience?</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This unit establishes the foundational conceptual vocabulary for the course. Students must leave with a clear, working distinction between scientific scepticism and science denial, and with the FLICC framework as a practical analytical tool.</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 — by end of this unit students will be able to:</w:t>
            </w:r>
          </w:p>
          <w:p>
            <w:pPr>
              <w:spacing w:after="40" w:before="40"/>
            </w:pPr>
            <w:r>
              <w:rPr>
                <w:rFonts w:ascii="Arial" w:cs="Arial" w:eastAsia="Arial" w:hAnsi="Arial"/>
                <w:color w:val="1a1a1a"/>
                <w:sz w:val="20"/>
                <w:szCs w:val="20"/>
              </w:rPr>
              <w:t xml:space="preserve">Distinguish scientific scepticism from science denial using at least two defining criteria</w:t>
            </w:r>
          </w:p>
          <w:p>
            <w:pPr>
              <w:spacing w:after="40" w:before="40"/>
            </w:pPr>
            <w:r>
              <w:rPr>
                <w:rFonts w:ascii="Arial" w:cs="Arial" w:eastAsia="Arial" w:hAnsi="Arial"/>
                <w:color w:val="1a1a1a"/>
                <w:sz w:val="20"/>
                <w:szCs w:val="20"/>
              </w:rPr>
              <w:t xml:space="preserve">Identify each of the five FLICC hallmarks in real examples of antiscience rhetoric</w:t>
            </w:r>
          </w:p>
          <w:p>
            <w:pPr>
              <w:spacing w:after="40" w:before="40"/>
            </w:pPr>
            <w:r>
              <w:rPr>
                <w:rFonts w:ascii="Arial" w:cs="Arial" w:eastAsia="Arial" w:hAnsi="Arial"/>
                <w:color w:val="1a1a1a"/>
                <w:sz w:val="20"/>
                <w:szCs w:val="20"/>
              </w:rPr>
              <w:t xml:space="preserve">Explain how the institution of science produces reliable knowledge through self-correction</w:t>
            </w:r>
          </w:p>
          <w:p>
            <w:pPr>
              <w:spacing w:after="40" w:before="40"/>
            </w:pPr>
            <w:r>
              <w:rPr>
                <w:rFonts w:ascii="Arial" w:cs="Arial" w:eastAsia="Arial" w:hAnsi="Arial"/>
                <w:color w:val="1a1a1a"/>
                <w:sz w:val="20"/>
                <w:szCs w:val="20"/>
              </w:rPr>
              <w:t xml:space="preserve">Apply the concept of 'manufactured controversy' to a specific current case</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Welcome &amp; course overview; distribute workbooks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Instructor-led: What is science? What is denial? (mini-lecture)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Lecture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Small group: FLICC hallmarks — identification exercise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Groups of 3–4</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Whole class debrief: FLICC exercise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Pair work: Wakefield case study (workbook)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Pairs</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Closing: key takeaways; assign Unit 1 readings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What is the difference between scepticism and denial? Is the line ever genuinely ambiguous?</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Students often find borderline cases (e.g. early scientific dissent later vindicated). Validate the complexity but return to the methodological distinction: scepticism follows evidence; denial resists it. Use Semmelweis as an example of legitimate dissent vindicated — but note his arguments were evidence-based.</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Can you think of a claim that uses the 'impossible expectations' hallmark? Why is this technique particularly effective?</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Draw out that science cannot prove absolute certainty on anything — so demanding it is always achievable. Note that this is the same standard we don't apply to other knowledge domains (medicine, engineering). The asymmetry is the tell.</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Oreskes found zero peer-reviewed papers rejecting climate consensus. Why do so many people believe there is genuine scientific controversy?</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Steer toward media framing, journalistic balance norms, and the manufactured controversy concept. Avoid letting discussion collapse into a climate debate — the empirical point is about the mismatch between scientific and public perception of consensus.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Activity Debrief: The Five Hallmarks Spotter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7490" w:sz="12"/>
              <w:bottom w:val="none" w:color="ffffff" w:sz="0"/>
              <w:right w:val="none" w:color="ffffff" w:sz="0"/>
            </w:tcBorders>
            <w:shd w:fill="e0f2f7" w:val="clear"/>
            <w:tcMar>
              <w:top w:type="dxa" w:w="120"/>
              <w:left w:type="dxa" w:w="200"/>
              <w:bottom w:type="dxa" w:w="120"/>
              <w:right w:type="dxa" w:w="200"/>
            </w:tcMar>
          </w:tcPr>
          <w:p>
            <w:pPr>
              <w:spacing w:after="60"/>
            </w:pPr>
            <w:r>
              <w:rPr>
                <w:rFonts w:ascii="Arial" w:cs="Arial" w:eastAsia="Arial" w:hAnsi="Arial"/>
                <w:b/>
                <w:bCs/>
                <w:color w:val="0e7490"/>
                <w:spacing w:val="40"/>
                <w:sz w:val="16"/>
                <w:szCs w:val="16"/>
              </w:rPr>
              <w:t xml:space="preserve">FACILITATION NOTES</w:t>
            </w:r>
          </w:p>
          <w:p>
            <w:pPr>
              <w:spacing w:after="40" w:before="40"/>
            </w:pPr>
            <w:r>
              <w:rPr>
                <w:rFonts w:ascii="Arial" w:cs="Arial" w:eastAsia="Arial" w:hAnsi="Arial"/>
                <w:color w:val="1a1a1a"/>
                <w:sz w:val="20"/>
                <w:szCs w:val="20"/>
              </w:rPr>
              <w:t xml:space="preserve">Before the activity: ensure all groups are working with the same or comparable texts for easy cross-group comparison.</w:t>
            </w:r>
          </w:p>
          <w:p>
            <w:pPr>
              <w:spacing w:after="40" w:before="40"/>
            </w:pPr>
            <w:r>
              <w:rPr>
                <w:rFonts w:ascii="Arial" w:cs="Arial" w:eastAsia="Arial" w:hAnsi="Arial"/>
                <w:color w:val="1a1a1a"/>
                <w:sz w:val="20"/>
                <w:szCs w:val="20"/>
              </w:rPr>
              <w:t xml:space="preserve">During: circulate and prompt groups who are stuck — 'what is this claim asking you to accept without evidence?' is a useful entry question.</w:t>
            </w:r>
          </w:p>
          <w:p>
            <w:pPr>
              <w:spacing w:after="40" w:before="40"/>
            </w:pPr>
            <w:r>
              <w:rPr>
                <w:rFonts w:ascii="Arial" w:cs="Arial" w:eastAsia="Arial" w:hAnsi="Arial"/>
                <w:color w:val="1a1a1a"/>
                <w:sz w:val="20"/>
                <w:szCs w:val="20"/>
              </w:rPr>
              <w:t xml:space="preserve">Debrief: ask each group to share their most interesting finding. Look for cases where students disagree — these are pedagogically valuable. A claim can legitimately use multiple FLICC hallmarks simultaneously.</w:t>
            </w:r>
          </w:p>
          <w:p>
            <w:pPr>
              <w:spacing w:after="40" w:before="40"/>
            </w:pPr>
            <w:r>
              <w:rPr>
                <w:rFonts w:ascii="Arial" w:cs="Arial" w:eastAsia="Arial" w:hAnsi="Arial"/>
                <w:color w:val="1a1a1a"/>
                <w:sz w:val="20"/>
                <w:szCs w:val="20"/>
              </w:rPr>
              <w:t xml:space="preserve">Common error: students often code 'conspiracy theory' too broadly. Clarify that not every claim of institutional failure is a conspiracy theory — the hallmark requires an explanation involving coordinated, intentional deception.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Case Study Debrief: Wakefield and MMR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7490" w:sz="12"/>
              <w:bottom w:val="none" w:color="ffffff" w:sz="0"/>
              <w:right w:val="none" w:color="ffffff" w:sz="0"/>
            </w:tcBorders>
            <w:shd w:fill="e0f2f7" w:val="clear"/>
            <w:tcMar>
              <w:top w:type="dxa" w:w="120"/>
              <w:left w:type="dxa" w:w="200"/>
              <w:bottom w:type="dxa" w:w="120"/>
              <w:right w:type="dxa" w:w="200"/>
            </w:tcMar>
          </w:tcPr>
          <w:p>
            <w:pPr>
              <w:spacing w:after="60"/>
            </w:pPr>
            <w:r>
              <w:rPr>
                <w:rFonts w:ascii="Arial" w:cs="Arial" w:eastAsia="Arial" w:hAnsi="Arial"/>
                <w:b/>
                <w:bCs/>
                <w:color w:val="0e7490"/>
                <w:spacing w:val="40"/>
                <w:sz w:val="16"/>
                <w:szCs w:val="16"/>
              </w:rPr>
              <w:t xml:space="preserve">FACILITATION NOTES</w:t>
            </w:r>
          </w:p>
          <w:p>
            <w:pPr>
              <w:spacing w:after="40" w:before="40"/>
            </w:pPr>
            <w:r>
              <w:rPr>
                <w:rFonts w:ascii="Arial" w:cs="Arial" w:eastAsia="Arial" w:hAnsi="Arial"/>
                <w:color w:val="1a1a1a"/>
                <w:sz w:val="20"/>
                <w:szCs w:val="20"/>
              </w:rPr>
              <w:t xml:space="preserve">The Wakefield case is emotionally charged for some students, particularly those with personal connections to autism or vaccine-injured communities. Acknowledge this early and frame the case as an institutional and epistemological study, not a personal attack.</w:t>
            </w:r>
          </w:p>
          <w:p>
            <w:pPr>
              <w:spacing w:after="40" w:before="40"/>
            </w:pPr>
            <w:r>
              <w:rPr>
                <w:rFonts w:ascii="Arial" w:cs="Arial" w:eastAsia="Arial" w:hAnsi="Arial"/>
                <w:color w:val="1a1a1a"/>
                <w:sz w:val="20"/>
                <w:szCs w:val="20"/>
              </w:rPr>
              <w:t xml:space="preserve">Key teaching point: the antivax movement demonstrates belief perseverance — the retraction of the original paper made no significant difference to the movement's growth. This is your entry into Unit 3 territory (psychology of denial).</w:t>
            </w:r>
          </w:p>
          <w:p>
            <w:pPr>
              <w:spacing w:after="40" w:before="40"/>
            </w:pPr>
            <w:r>
              <w:rPr>
                <w:rFonts w:ascii="Arial" w:cs="Arial" w:eastAsia="Arial" w:hAnsi="Arial"/>
                <w:color w:val="1a1a1a"/>
                <w:sz w:val="20"/>
                <w:szCs w:val="20"/>
              </w:rPr>
              <w:t xml:space="preserve">Push students on question 3: what could have been done differently? Move past 'better communication' to structural questions — conflict of interest disclosure, journal responsibility, media reporting norms.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'Scientists are just as biased as anyone else' — true that individual scientists have biases; the teaching point is that the institution corrects for them. Don't dismiss the concern; redirect to the structural argument.</w:t>
            </w:r>
          </w:p>
          <w:p>
            <w:pPr>
              <w:spacing w:after="40" w:before="40"/>
            </w:pPr>
            <w:r>
              <w:rPr>
                <w:rFonts w:ascii="Arial" w:cs="Arial" w:eastAsia="Arial" w:hAnsi="Arial"/>
                <w:color w:val="1a1a1a"/>
                <w:sz w:val="20"/>
                <w:szCs w:val="20"/>
              </w:rPr>
              <w:t xml:space="preserve">'Isn't all science uncertain?' — yes, but this elides the distinction between uncertainty at the research frontier vs. manufactured uncertainty about well-established consensus. Use the analogy of evolution: uncertain at the edges, settled at the core.</w:t>
            </w:r>
          </w:p>
          <w:p>
            <w:pPr>
              <w:spacing w:after="40" w:before="40"/>
            </w:pPr>
            <w:r>
              <w:rPr>
                <w:rFonts w:ascii="Arial" w:cs="Arial" w:eastAsia="Arial" w:hAnsi="Arial"/>
                <w:color w:val="1a1a1a"/>
                <w:sz w:val="20"/>
                <w:szCs w:val="20"/>
              </w:rPr>
              <w:t xml:space="preserve">'The Wakefield paper showed vaccines can cause harm' — the paper was fraudulent and retracted. Correct clearly but without dismissing the underlying concern about vaccine safety monitoring, which is legitimate.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a5c"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2  ·  Weeks 3–4</w:t>
            </w:r>
          </w:p>
          <w:p>
            <w:r>
              <w:rPr>
                <w:rFonts w:ascii="Arial" w:cs="Arial" w:eastAsia="Arial" w:hAnsi="Arial"/>
                <w:b/>
                <w:bCs/>
                <w:color w:val="ffffff"/>
                <w:sz w:val="26"/>
                <w:szCs w:val="26"/>
              </w:rPr>
              <w:t xml:space="preserve">Historical Roots of Science Denial</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This unit grounds students in the historical infrastructure of organised science denial. The tobacco industry case is not merely historical — it is the operating manual for contemporary denial movements. Students should leave with the ability to identify this infrastructure in current cases.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w:t>
            </w:r>
          </w:p>
          <w:p>
            <w:pPr>
              <w:spacing w:after="40" w:before="40"/>
            </w:pPr>
            <w:r>
              <w:rPr>
                <w:rFonts w:ascii="Arial" w:cs="Arial" w:eastAsia="Arial" w:hAnsi="Arial"/>
                <w:color w:val="1a1a1a"/>
                <w:sz w:val="20"/>
                <w:szCs w:val="20"/>
              </w:rPr>
              <w:t xml:space="preserve">Explain the tobacco doubt-manufacturing strategy and its key components</w:t>
            </w:r>
          </w:p>
          <w:p>
            <w:pPr>
              <w:spacing w:after="40" w:before="40"/>
            </w:pPr>
            <w:r>
              <w:rPr>
                <w:rFonts w:ascii="Arial" w:cs="Arial" w:eastAsia="Arial" w:hAnsi="Arial"/>
                <w:color w:val="1a1a1a"/>
                <w:sz w:val="20"/>
                <w:szCs w:val="20"/>
              </w:rPr>
              <w:t xml:space="preserve">Identify the network of actors (scientists, think tanks, PR firms, media) that sustain organised denial</w:t>
            </w:r>
          </w:p>
          <w:p>
            <w:pPr>
              <w:spacing w:after="40" w:before="40"/>
            </w:pPr>
            <w:r>
              <w:rPr>
                <w:rFonts w:ascii="Arial" w:cs="Arial" w:eastAsia="Arial" w:hAnsi="Arial"/>
                <w:color w:val="1a1a1a"/>
                <w:sz w:val="20"/>
                <w:szCs w:val="20"/>
              </w:rPr>
              <w:t xml:space="preserve">Apply the Merchants of Doubt framework to a contemporary denial campaign</w:t>
            </w:r>
          </w:p>
          <w:p>
            <w:pPr>
              <w:spacing w:after="40" w:before="40"/>
            </w:pPr>
            <w:r>
              <w:rPr>
                <w:rFonts w:ascii="Arial" w:cs="Arial" w:eastAsia="Arial" w:hAnsi="Arial"/>
                <w:color w:val="1a1a1a"/>
                <w:sz w:val="20"/>
                <w:szCs w:val="20"/>
              </w:rPr>
              <w:t xml:space="preserve">Distinguish legitimate policy research organisations from advocacy-disguised-as-science think tanks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Opening: 'doubt is our product' — what does this mean? (brief lecture)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Video clip: Merchants of Doubt documentary excerpt (15 min)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Screening</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Small group: Denial Network Mapping exercise (workbook)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Groups of 3–4</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Gallery walk: groups share network maps; whole class identifies common patterns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Instructor-led: The Exxon case study; assign 800-word case study essay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Is it fair to compare tobacco denial to climate denial? Are there meaningful differences?</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Validate the question — the comparison is structural, not moral equivalence. Key similarities: same network of actors, same doubt strategy, same funder-to-think-tank mechanism. Key difference: climate has faster and clearer feedback loops than tobacco. Avoid letting this become a climate policy debate.</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How do you distinguish a legitimate policy think tank from one engaged in science denial?</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Push students toward specific criteria: Does it conduct peer-reviewed research? Does it disclose funding? Does it employ scientists in their area of claimed expertise? Does it change its conclusions when evidence changes? The last criterion is often the most diagnostic.</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The Exxon documents show the company knew about climate science internally. Does corporate knowledge create moral or legal responsibility?</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This is deliberately challenging and has no consensus answer. It is a rich discussion question. Note the legal proceedings that followed. Don't resolve it — use it to illustrate why the historical record matters for policy.</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Case Study Essay Rubric: Unit 2 (800 words)</w:t>
      </w:r>
    </w:p>
    <w:p>
      <w:pPr>
        <w:spacing w:after="60" w:before="60"/>
      </w:pPr>
      <w:r>
        <w:rPr>
          <w:rFonts w:ascii="Arial" w:cs="Arial" w:eastAsia="Arial" w:hAnsi="Arial"/>
          <w:color w:val="1a1a1a"/>
          <w:sz w:val="20"/>
          <w:szCs w:val="20"/>
        </w:rPr>
        <w:t xml:space="preserve">Students select one historical antiscience campaign and trace the doubt-manufacturing tactics used, identifying which tactics persist in contemporary movements.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2000"/>
        <w:gridCol w:w="2560"/>
      </w:tblGrid>
      <w:tr>
        <w:tc>
          <w:tcPr>
            <w:tcW w:type="dxa" w:w="2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Criterion</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Excellent (A)</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Proficient (B)</w:t>
            </w:r>
          </w:p>
        </w:tc>
        <w:tc>
          <w:tcPr>
            <w:tcW w:type="dxa" w:w="25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Developing (C)</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Historical accuracy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Claims are accurate, well-sourced; primary or strong secondary sources used</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accurate; minor factual errors; adequate sourcing</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Some inaccuracies; insufficient sourcing; over-reliance on secondary sources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Framework application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FLICC or Merchants of Doubt framework applied correctly and insightfully throughout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Framework applied but incompletely or with some misapplication</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Framework mentioned but not meaningfully applied to the case</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Contemporary connection</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Specific, well-evidenced connection to contemporary movement; mechanisms clearly identified</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Contemporary connection made but vaguely or without specific evidence</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Contemporary connection asserted but not demonstrated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Writing quality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Clear, precise, well-structured argument; professional register throughout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clear; some structural or prose issues</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Unclear argument; significant structural or prose problems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'Think tanks are just biased — so is everyone' — correct that bias exists universally, but distinguish between acknowledged advocacy (transparent) and advocacy disguised as independent science (deceptive). The deception is the issue.</w:t>
            </w:r>
          </w:p>
          <w:p>
            <w:pPr>
              <w:spacing w:after="40" w:before="40"/>
            </w:pPr>
            <w:r>
              <w:rPr>
                <w:rFonts w:ascii="Arial" w:cs="Arial" w:eastAsia="Arial" w:hAnsi="Arial"/>
                <w:color w:val="1a1a1a"/>
                <w:sz w:val="20"/>
                <w:szCs w:val="20"/>
              </w:rPr>
              <w:t xml:space="preserve">'The tobacco comparison is unfair because climate is different' — validate that contexts differ, but the structural/organisational parallel is the teaching point. The same techniques, often by the same people.</w:t>
            </w:r>
          </w:p>
          <w:p>
            <w:pPr>
              <w:spacing w:after="40" w:before="40"/>
            </w:pPr>
            <w:r>
              <w:rPr>
                <w:rFonts w:ascii="Arial" w:cs="Arial" w:eastAsia="Arial" w:hAnsi="Arial"/>
                <w:color w:val="1a1a1a"/>
                <w:sz w:val="20"/>
                <w:szCs w:val="20"/>
              </w:rPr>
              <w:t xml:space="preserve">'Scientists who dissent from consensus might just be right' — true historically. Distinguish: legitimate dissent is published, peer-reviewed, and responsive to counter-evidence. Manufactured dissent is funded, coordinated, and resistant to counter-evidence.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563a8"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3  ·  Weeks 5–6</w:t>
            </w:r>
          </w:p>
          <w:p>
            <w:r>
              <w:rPr>
                <w:rFonts w:ascii="Arial" w:cs="Arial" w:eastAsia="Arial" w:hAnsi="Arial"/>
                <w:b/>
                <w:bCs/>
                <w:color w:val="ffffff"/>
                <w:sz w:val="26"/>
                <w:szCs w:val="26"/>
              </w:rPr>
              <w:t xml:space="preserve">Cognitive Psychology of Denial</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This is often the most surprising unit for students — especially those who believe that 'just educating people' is the solution to antiscience. The research here challenges that assumption systematically. Handle the Kahan paradox carefully: it is not a counsel of despair but a reorientation of strategy.</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w:t>
            </w:r>
          </w:p>
          <w:p>
            <w:pPr>
              <w:spacing w:after="40" w:before="40"/>
            </w:pPr>
            <w:r>
              <w:rPr>
                <w:rFonts w:ascii="Arial" w:cs="Arial" w:eastAsia="Arial" w:hAnsi="Arial"/>
                <w:color w:val="1a1a1a"/>
                <w:sz w:val="20"/>
                <w:szCs w:val="20"/>
              </w:rPr>
              <w:t xml:space="preserve">Explain why the information deficit model fails as a complete account of science denial</w:t>
            </w:r>
          </w:p>
          <w:p>
            <w:pPr>
              <w:spacing w:after="40" w:before="40"/>
            </w:pPr>
            <w:r>
              <w:rPr>
                <w:rFonts w:ascii="Arial" w:cs="Arial" w:eastAsia="Arial" w:hAnsi="Arial"/>
                <w:color w:val="1a1a1a"/>
                <w:sz w:val="20"/>
                <w:szCs w:val="20"/>
              </w:rPr>
              <w:t xml:space="preserve">Define motivated reasoning and identity-protective cognition with accurate examples</w:t>
            </w:r>
          </w:p>
          <w:p>
            <w:pPr>
              <w:spacing w:after="40" w:before="40"/>
            </w:pPr>
            <w:r>
              <w:rPr>
                <w:rFonts w:ascii="Arial" w:cs="Arial" w:eastAsia="Arial" w:hAnsi="Arial"/>
                <w:color w:val="1a1a1a"/>
                <w:sz w:val="20"/>
                <w:szCs w:val="20"/>
              </w:rPr>
              <w:t xml:space="preserve">Describe the backfire effect and its current evidential status (rarer than initially claimed)</w:t>
            </w:r>
          </w:p>
          <w:p>
            <w:pPr>
              <w:spacing w:after="40" w:before="40"/>
            </w:pPr>
            <w:r>
              <w:rPr>
                <w:rFonts w:ascii="Arial" w:cs="Arial" w:eastAsia="Arial" w:hAnsi="Arial"/>
                <w:color w:val="1a1a1a"/>
                <w:sz w:val="20"/>
                <w:szCs w:val="20"/>
              </w:rPr>
              <w:t xml:space="preserve">Apply Kahneman's dual-process framework to explain why misinformation spreads more easily than corrections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Opening poll: 'Would better science education solve antiscience?' (anonymous vote + reveal)</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Lecture: information deficit model and its failures; Kahan's findings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Lecture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Individual reflection: 'What Would Change Your Mind?' (workbook)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Individual</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Pair share: compare reflections; identify patterns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Pairs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Whole class: the Kahan paradox case study debrief</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Closing: implications for science communication strategy; preview Unit 4</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If people with higher scientific literacy are more polarised on climate, not less — what does that tell us about the limits of science education?</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Key insight: literacy provides cognitive tools that can be used in service of prior beliefs. This is deeply uncomfortable for educators. Allow discomfort. Guide toward: literacy is necessary but not sufficient; we also need to address identity and trust. Don't let students retreat to 'well, we need better education' — press for what 'better' means given this evidence.</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Think of a belief you hold that would be very hard to revise with evidence. What makes it resistant? (Small group, then share)</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This is a vulnerable question. Model it yourself first — share your own example briefly. It changes the dynamic significantly. Watch for students who claim they have no such beliefs (this is usually motivated reasoning about motivated reasoning).</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Has anyone experienced the backfire effect — believing something more strongly after someone tried to correct you? What happened?</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Rich experiential discussion. Use to distinguish: the correction itself (the information) vs. the social interaction of being corrected. Often the resistance is to the latter, not the former — which has direct implications for communication strategy.</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'This research means we can't change people's minds' — incorrect. It means direct factual correction is insufficient. There are effective strategies (inoculation, identity-affirming approaches, trusted messengers). Unit 5 addresses these directly.</w:t>
            </w:r>
          </w:p>
          <w:p>
            <w:pPr>
              <w:spacing w:after="40" w:before="40"/>
            </w:pPr>
            <w:r>
              <w:rPr>
                <w:rFonts w:ascii="Arial" w:cs="Arial" w:eastAsia="Arial" w:hAnsi="Arial"/>
                <w:color w:val="1a1a1a"/>
                <w:sz w:val="20"/>
                <w:szCs w:val="20"/>
              </w:rPr>
              <w:t xml:space="preserve">'System 1 thinking is bad and System 2 is good' — this is a misreading of Kahneman. System 1 is fast and usually right; it is not inherently inferior. The issue is that misinformation is designed to exploit System 1, not that System 1 is defective.</w:t>
            </w:r>
          </w:p>
          <w:p>
            <w:pPr>
              <w:spacing w:after="40" w:before="40"/>
            </w:pPr>
            <w:r>
              <w:rPr>
                <w:rFonts w:ascii="Arial" w:cs="Arial" w:eastAsia="Arial" w:hAnsi="Arial"/>
                <w:color w:val="1a1a1a"/>
                <w:sz w:val="20"/>
                <w:szCs w:val="20"/>
              </w:rPr>
              <w:t xml:space="preserve">'The backfire effect proves you should never correct misinformation' — the effect is rarer and more context-dependent than initially reported. The lesson is about how to correct, not whether to.</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e7490"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4  ·  Weeks 7–8</w:t>
            </w:r>
          </w:p>
          <w:p>
            <w:r>
              <w:rPr>
                <w:rFonts w:ascii="Arial" w:cs="Arial" w:eastAsia="Arial" w:hAnsi="Arial"/>
                <w:b/>
                <w:bCs/>
                <w:color w:val="ffffff"/>
                <w:sz w:val="26"/>
                <w:szCs w:val="26"/>
              </w:rPr>
              <w:t xml:space="preserve">Media, Misinformation &amp; Digital Ecosystems</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This unit examines the structural features of the media ecosystem that enable antiscience content to spread. The Vosoughi finding is often the most surprising to students. Emphasise that the problem is not simply 'bad actors' but structural incentives — platforms optimise for engagement, and engagement favours emotionally arousing content, which misinformation frequently is.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w:t>
            </w:r>
          </w:p>
          <w:p>
            <w:pPr>
              <w:spacing w:after="40" w:before="40"/>
            </w:pPr>
            <w:r>
              <w:rPr>
                <w:rFonts w:ascii="Arial" w:cs="Arial" w:eastAsia="Arial" w:hAnsi="Arial"/>
                <w:color w:val="1a1a1a"/>
                <w:sz w:val="20"/>
                <w:szCs w:val="20"/>
              </w:rPr>
              <w:t xml:space="preserve">Explain the false balance problem and identify it in contemporary media coverage</w:t>
            </w:r>
          </w:p>
          <w:p>
            <w:pPr>
              <w:spacing w:after="40" w:before="40"/>
            </w:pPr>
            <w:r>
              <w:rPr>
                <w:rFonts w:ascii="Arial" w:cs="Arial" w:eastAsia="Arial" w:hAnsi="Arial"/>
                <w:color w:val="1a1a1a"/>
                <w:sz w:val="20"/>
                <w:szCs w:val="20"/>
              </w:rPr>
              <w:t xml:space="preserve">Apply the Wardle/Derakhshan mis/dis/malinformation framework to categorise information types</w:t>
            </w:r>
          </w:p>
          <w:p>
            <w:pPr>
              <w:spacing w:after="40" w:before="40"/>
            </w:pPr>
            <w:r>
              <w:rPr>
                <w:rFonts w:ascii="Arial" w:cs="Arial" w:eastAsia="Arial" w:hAnsi="Arial"/>
                <w:color w:val="1a1a1a"/>
                <w:sz w:val="20"/>
                <w:szCs w:val="20"/>
              </w:rPr>
              <w:t xml:space="preserve">Summarise Vosoughi et al.'s key finding and explain its implications for platform design</w:t>
            </w:r>
          </w:p>
          <w:p>
            <w:pPr>
              <w:spacing w:after="40" w:before="40"/>
            </w:pPr>
            <w:r>
              <w:rPr>
                <w:rFonts w:ascii="Arial" w:cs="Arial" w:eastAsia="Arial" w:hAnsi="Arial"/>
                <w:color w:val="1a1a1a"/>
                <w:sz w:val="20"/>
                <w:szCs w:val="20"/>
              </w:rPr>
              <w:t xml:space="preserve">Conduct a basic SIFT-method source evaluation on antiscience content</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Opening: show two headlines on the same scientific topic — one with false balance, one without. What's different?</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Mini-lecture: false balance, algorithmic amplification, mis/dis/malinformation framework</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Lecture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SIFT method practice: students apply to a piece of antiscience content (workbook activity)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Individual/pairs</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Debrief: what did the SIFT process reveal? What was surprising?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COVID infodemic case study (workbook): categorise three claims using Wardle framework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Small groups</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If humans — not bots — are primarily responsible for spreading false news, what does that say about where solutions need to be focused?</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Students often want to pin the problem on platforms or bad actors. This finding complicates that. Guide toward: platform design shapes human behaviour; individual media literacy matters; institutional gatekeeping (editorial standards) matters. All three levels are implicated.</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Is it ever appropriate for journalists to present 'both sides' on a scientific question? Where is the line?</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A productive debate question. Yes for genuinely contested policy questions derived from science; no for misrepresenting the state of scientific evidence. The line is: report the science accurately, then report the policy debate. These are different things. Tobacco is the cleanest case.</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Are social media platforms morally responsible for the spread of health misinformation on their platforms?</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Deliberately contestable. There is no consensus answer. Use to explore: legal vs. moral responsibility; Section 230; the difference between hosting and amplifying; what 'reasonable steps' would look like.</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Media Tracing Exercise Rubric: Unit 4</w:t>
      </w:r>
    </w:p>
    <w:p>
      <w:pPr>
        <w:spacing w:after="60" w:before="60"/>
      </w:pPr>
      <w:r>
        <w:rPr>
          <w:rFonts w:ascii="Arial" w:cs="Arial" w:eastAsia="Arial" w:hAnsi="Arial"/>
          <w:color w:val="1a1a1a"/>
          <w:sz w:val="20"/>
          <w:szCs w:val="20"/>
        </w:rPr>
        <w:t xml:space="preserve">Students trace the origin and spread of one piece of antiscience misinformation across platforms, mapping amplification mechanisms at each stage.</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2000"/>
        <w:gridCol w:w="2560"/>
      </w:tblGrid>
      <w:tr>
        <w:tc>
          <w:tcPr>
            <w:tcW w:type="dxa" w:w="2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Criterion</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Excellent (A)</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Proficient (B)</w:t>
            </w:r>
          </w:p>
        </w:tc>
        <w:tc>
          <w:tcPr>
            <w:tcW w:type="dxa" w:w="25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Developing (C)</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Source identification</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Original source accurately identified; chain of transmission clearly documented with evidence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Source identified; some gaps in transmission chain; partial evidence</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Source unclear or incorrectly identified; transmission chain incomplete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Framework application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Wardle/Derakhshan or SIFT framework applied correctly and consistently throughout analysis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Framework referenced but inconsistently applied</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Framework mentioned but not operationalised in the analysis</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Amplification mechanisms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Specific platform features (algorithm, sharing mechanics, influencer networks) accurately identified and explained</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Amplification discussed generally without specific mechanism detail</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Amplification asserted but not explained or evidenced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Critical analysis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Evaluates what could have slowed spread; realistic and evidence-based suggestions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Some evaluative analysis; suggestions lack specificity or evidence base</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Descriptive only; no evaluative analysis of what could have been different</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'Filter bubbles mean people only see misinformation if they seek it out' — research on filter bubbles is more nuanced than popular accounts suggest. Exposure to cross-cutting content still occurs; the issue is asymmetric amplification, not perfect segregation.</w:t>
            </w:r>
          </w:p>
          <w:p>
            <w:pPr>
              <w:spacing w:after="40" w:before="40"/>
            </w:pPr>
            <w:r>
              <w:rPr>
                <w:rFonts w:ascii="Arial" w:cs="Arial" w:eastAsia="Arial" w:hAnsi="Arial"/>
                <w:color w:val="1a1a1a"/>
                <w:sz w:val="20"/>
                <w:szCs w:val="20"/>
              </w:rPr>
              <w:t xml:space="preserve">'If something goes viral it must be popular, so people must want it' — algorithmic amplification decouples virality from genuine human preference. People engage with what is surfaced, not necessarily what they would seek unprompted.</w:t>
            </w:r>
          </w:p>
          <w:p>
            <w:pPr>
              <w:spacing w:after="40" w:before="40"/>
            </w:pPr>
            <w:r>
              <w:rPr>
                <w:rFonts w:ascii="Arial" w:cs="Arial" w:eastAsia="Arial" w:hAnsi="Arial"/>
                <w:color w:val="1a1a1a"/>
                <w:sz w:val="20"/>
                <w:szCs w:val="20"/>
              </w:rPr>
              <w:t xml:space="preserve">'Fact-checking is the solution' — fact-checking helps but reaches a narrow, already-sceptical audience. It does not significantly reduce the spread of content it debunks at the platform level. This is empirically documented.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6d28d9"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5  ·  Weeks 9–10</w:t>
            </w:r>
          </w:p>
          <w:p>
            <w:r>
              <w:rPr>
                <w:rFonts w:ascii="Arial" w:cs="Arial" w:eastAsia="Arial" w:hAnsi="Arial"/>
                <w:b/>
                <w:bCs/>
                <w:color w:val="ffffff"/>
                <w:sz w:val="26"/>
                <w:szCs w:val="26"/>
              </w:rPr>
              <w:t xml:space="preserve">Countering Antiscience: Inoculation &amp; Prebunking</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This is the most practically actionable unit in the course, and students often find it the most energising after the sobering findings of Units 3 and 4. The core message: we cannot easily change strongly held beliefs, but we can build resistance before they form. Spend significant time on the practical Fact-Myth-Fallacy exercise — it is the skill students will use most.</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w:t>
            </w:r>
          </w:p>
          <w:p>
            <w:pPr>
              <w:spacing w:after="40" w:before="40"/>
            </w:pPr>
            <w:r>
              <w:rPr>
                <w:rFonts w:ascii="Arial" w:cs="Arial" w:eastAsia="Arial" w:hAnsi="Arial"/>
                <w:color w:val="1a1a1a"/>
                <w:sz w:val="20"/>
                <w:szCs w:val="20"/>
              </w:rPr>
              <w:t xml:space="preserve">Explain the biological analogy underlying inoculation theory and its application to misinformation</w:t>
            </w:r>
          </w:p>
          <w:p>
            <w:pPr>
              <w:spacing w:after="40" w:before="40"/>
            </w:pPr>
            <w:r>
              <w:rPr>
                <w:rFonts w:ascii="Arial" w:cs="Arial" w:eastAsia="Arial" w:hAnsi="Arial"/>
                <w:color w:val="1a1a1a"/>
                <w:sz w:val="20"/>
                <w:szCs w:val="20"/>
              </w:rPr>
              <w:t xml:space="preserve">Distinguish prebunking from debunking and identify contexts where each is appropriate</w:t>
            </w:r>
          </w:p>
          <w:p>
            <w:pPr>
              <w:spacing w:after="40" w:before="40"/>
            </w:pPr>
            <w:r>
              <w:rPr>
                <w:rFonts w:ascii="Arial" w:cs="Arial" w:eastAsia="Arial" w:hAnsi="Arial"/>
                <w:color w:val="1a1a1a"/>
                <w:sz w:val="20"/>
                <w:szCs w:val="20"/>
              </w:rPr>
              <w:t xml:space="preserve">Apply the Fact-Myth-Fallacy structure to produce an effective prebunk for a given claim</w:t>
            </w:r>
          </w:p>
          <w:p>
            <w:pPr>
              <w:spacing w:after="40" w:before="40"/>
            </w:pPr>
            <w:r>
              <w:rPr>
                <w:rFonts w:ascii="Arial" w:cs="Arial" w:eastAsia="Arial" w:hAnsi="Arial"/>
                <w:color w:val="1a1a1a"/>
                <w:sz w:val="20"/>
                <w:szCs w:val="20"/>
              </w:rPr>
              <w:t xml:space="preserve">Evaluate the limitations of inoculation theory including durability and scalability questions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Opening: show a piece of misinformation. Ask: how would you respond? Collect responses. Return to at end.</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Mini-lecture: inoculation theory history and mechanism; prebunking vs. debunking</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Lecture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Instructor models Fact-Myth-Fallacy structure with one example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Demonstration</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Write a Prebunk activity (workbook): students draft individually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Individual</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Peer review: exchange prebunks; apply Fact-Myth-Fallacy checklist</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Pairs</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Whole class: revisit opening responses — how would students respond differently now?</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Why is leading with the fact, rather than the myth, counterintuitive? What does it feel like to communicate this way?</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Students trained in debate or argument often want to 'acknowledge the other side' by stating it first. The evidence says this strengthens the myth through repetition. The discomfort is real — lean into it. Note that news journalism (inverted pyramid) also leads with the most important fact.</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The Bad News game asks players to produce misinformation. Is there an ethical problem with teaching people to manipulate?</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Rich discussion. Key distinctions: knowing how manipulation works does not mean endorsing it (we teach about fraud to prevent it); the educational context frames intent; the skills are already available to bad actors. Counter: does exposure to manipulation techniques normalise them? No clear answer — let students argue it.</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Inoculation has been shown to work in short-term lab settings. What would we need to know to be confident it works at population scale?</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Methodological sophistication question. Surfaces: durability over time, generalisation across topics, effects on those with strong prior beliefs vs. the persuadable middle, delivery mechanisms. These are all active research questions — validating student uncertainty is appropriate here.</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Prebunk Writing Rubric</w:t>
      </w:r>
    </w:p>
    <w:p>
      <w:pPr>
        <w:spacing w:after="60" w:before="60"/>
      </w:pPr>
      <w:r>
        <w:rPr>
          <w:rFonts w:ascii="Arial" w:cs="Arial" w:eastAsia="Arial" w:hAnsi="Arial"/>
          <w:color w:val="1a1a1a"/>
          <w:sz w:val="20"/>
          <w:szCs w:val="20"/>
        </w:rPr>
        <w:t xml:space="preserve">Students produce a 150–200 word prebunk using the Fact-Myth-Fallacy structure.</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2000"/>
        <w:gridCol w:w="2560"/>
      </w:tblGrid>
      <w:tr>
        <w:tc>
          <w:tcPr>
            <w:tcW w:type="dxa" w:w="2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Criterion</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Excellent (A)</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Proficient (B)</w:t>
            </w:r>
          </w:p>
        </w:tc>
        <w:tc>
          <w:tcPr>
            <w:tcW w:type="dxa" w:w="25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Developing (C)</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Fact-first structure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Opens clearly with accurate fact; myth warning is explicit; fallacy explained; fact reinforced at close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Structure mostly followed; one element missing or out of order</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Myth leads or structure not followed; Fact-Myth-Fallacy not identifiable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FLICC identification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Correct FLICC technique identified; fallacy explanation clearly connects to the technique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FLICC technique identified but explanation is incomplete or imprecise</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FLICC technique incorrectly identified or not connected to the explanation</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Audience appropriateness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Language, tone, and complexity are clearly calibrated for a general audience; jargon-free</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appropriate; some jargon or excessive technical language</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Too technical or too simplified; audience not considered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Accuracy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All factual claims in the prebunk are accurate and attributable to course readings or peer-reviewed sources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accurate; one minor factual error</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Factual errors present; unsupported claims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'Prebunking is just propaganda in reverse' — distinguish: propaganda uses manipulation techniques to create false beliefs; prebunking teaches people to recognise manipulation techniques to protect epistemic autonomy. The goal is the opposite.</w:t>
            </w:r>
          </w:p>
          <w:p>
            <w:pPr>
              <w:spacing w:after="40" w:before="40"/>
            </w:pPr>
            <w:r>
              <w:rPr>
                <w:rFonts w:ascii="Arial" w:cs="Arial" w:eastAsia="Arial" w:hAnsi="Arial"/>
                <w:color w:val="1a1a1a"/>
                <w:sz w:val="20"/>
                <w:szCs w:val="20"/>
              </w:rPr>
              <w:t xml:space="preserve">'If inoculation works, we should just inoculate everyone against everything' — scalability, prioritisation, and the challenge of identifying which misinformation to inoculate against in advance are all real constraints. The approach requires infrastructure.</w:t>
            </w:r>
          </w:p>
          <w:p>
            <w:pPr>
              <w:spacing w:after="40" w:before="40"/>
            </w:pPr>
            <w:r>
              <w:rPr>
                <w:rFonts w:ascii="Arial" w:cs="Arial" w:eastAsia="Arial" w:hAnsi="Arial"/>
                <w:color w:val="1a1a1a"/>
                <w:sz w:val="20"/>
                <w:szCs w:val="20"/>
              </w:rPr>
              <w:t xml:space="preserve">'The Fact-Myth-Fallacy structure is too formulaic' — the structure is a minimum viable framework, not a rigid script. Good communicators adapt tone and context while maintaining the underlying logic.</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66534"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UNIT 6  ·  Weeks 11–12</w:t>
            </w:r>
          </w:p>
          <w:p>
            <w:r>
              <w:rPr>
                <w:rFonts w:ascii="Arial" w:cs="Arial" w:eastAsia="Arial" w:hAnsi="Arial"/>
                <w:b/>
                <w:bCs/>
                <w:color w:val="ffffff"/>
                <w:sz w:val="26"/>
                <w:szCs w:val="26"/>
              </w:rPr>
              <w:t xml:space="preserve">Policy, Institutions &amp; Rebuilding Trust</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Unit Overview &amp; Learning Objectives</w:t>
      </w:r>
    </w:p>
    <w:p>
      <w:pPr>
        <w:spacing w:after="60" w:before="60"/>
      </w:pPr>
      <w:r>
        <w:rPr>
          <w:rFonts w:ascii="Arial" w:cs="Arial" w:eastAsia="Arial" w:hAnsi="Arial"/>
          <w:color w:val="1a1a1a"/>
          <w:sz w:val="20"/>
          <w:szCs w:val="20"/>
        </w:rPr>
        <w:t xml:space="preserve">The final unit moves from diagnosis to prescription, and from individual to systemic intervention. Students should leave not just able to identify antiscience but able to propose structural responses. The policy brief assignment should be introduced early enough for students to choose their focus and begin research before the final session.</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563a8" w:sz="12"/>
              <w:bottom w:val="none" w:color="ffffff" w:sz="0"/>
              <w:right w:val="none" w:color="ffffff" w:sz="0"/>
            </w:tcBorders>
            <w:shd w:fill="dbeafe" w:val="clear"/>
            <w:tcMar>
              <w:top w:type="dxa" w:w="120"/>
              <w:left w:type="dxa" w:w="200"/>
              <w:bottom w:type="dxa" w:w="120"/>
              <w:right w:type="dxa" w:w="200"/>
            </w:tcMar>
          </w:tcPr>
          <w:p>
            <w:pPr>
              <w:spacing w:after="60"/>
            </w:pPr>
            <w:r>
              <w:rPr>
                <w:rFonts w:ascii="Arial" w:cs="Arial" w:eastAsia="Arial" w:hAnsi="Arial"/>
                <w:b/>
                <w:bCs/>
                <w:color w:val="2563a8"/>
                <w:spacing w:val="40"/>
                <w:sz w:val="16"/>
                <w:szCs w:val="16"/>
              </w:rPr>
              <w:t xml:space="preserve">LEARNING OBJECTIVES</w:t>
            </w:r>
          </w:p>
          <w:p>
            <w:pPr>
              <w:spacing w:after="40" w:before="40"/>
            </w:pPr>
            <w:r>
              <w:rPr>
                <w:rFonts w:ascii="Arial" w:cs="Arial" w:eastAsia="Arial" w:hAnsi="Arial"/>
                <w:color w:val="1a1a1a"/>
                <w:sz w:val="20"/>
                <w:szCs w:val="20"/>
              </w:rPr>
              <w:t xml:space="preserve">Explain why institutional trust is relational rather than informational</w:t>
            </w:r>
          </w:p>
          <w:p>
            <w:pPr>
              <w:spacing w:after="40" w:before="40"/>
            </w:pPr>
            <w:r>
              <w:rPr>
                <w:rFonts w:ascii="Arial" w:cs="Arial" w:eastAsia="Arial" w:hAnsi="Arial"/>
                <w:color w:val="1a1a1a"/>
                <w:sz w:val="20"/>
                <w:szCs w:val="20"/>
              </w:rPr>
              <w:t xml:space="preserve">Identify at least three structural reforms that have an evidence base for rebuilding public trust in science</w:t>
            </w:r>
          </w:p>
          <w:p>
            <w:pPr>
              <w:spacing w:after="40" w:before="40"/>
            </w:pPr>
            <w:r>
              <w:rPr>
                <w:rFonts w:ascii="Arial" w:cs="Arial" w:eastAsia="Arial" w:hAnsi="Arial"/>
                <w:color w:val="1a1a1a"/>
                <w:sz w:val="20"/>
                <w:szCs w:val="20"/>
              </w:rPr>
              <w:t xml:space="preserve">Design a contextually appropriate science communication strategy for a specific community</w:t>
            </w:r>
          </w:p>
          <w:p>
            <w:pPr>
              <w:spacing w:after="40" w:before="40"/>
            </w:pPr>
            <w:r>
              <w:rPr>
                <w:rFonts w:ascii="Arial" w:cs="Arial" w:eastAsia="Arial" w:hAnsi="Arial"/>
                <w:color w:val="1a1a1a"/>
                <w:sz w:val="20"/>
                <w:szCs w:val="20"/>
              </w:rPr>
              <w:t xml:space="preserve">Produce a policy brief that draws on course frameworks and evidence to recommend actionable interventions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Suggested Session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2000"/>
        <w:gridCol w:w="2160"/>
      </w:tblGrid>
      <w:tr>
        <w:tc>
          <w:tcPr>
            <w:tcW w:type="dxa" w:w="52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Activity</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Format</w:t>
            </w:r>
          </w:p>
        </w:tc>
        <w:tc>
          <w:tcPr>
            <w:tcW w:type="dxa" w:w="21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Time</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Opening: 'Name one thing a scientific institution did that reduced your trust in it.' Collect anonymously; discuss patterns.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Plenary</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Mini-lecture: trust as relational; structural reform agenda; Finnish model</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Lecture</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Policy brief workshop: students share their chosen focus; instructor and peers give early feedback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Workshop</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25 min</w:t>
            </w:r>
          </w:p>
        </w:tc>
      </w:tr>
      <w:tr>
        <w:tc>
          <w:tcPr>
            <w:tcW w:type="dxa" w:w="5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COVID communication case study (workbook): small group analysis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Small groups</w:t>
            </w:r>
          </w:p>
        </w:tc>
        <w:tc>
          <w:tcPr>
            <w:tcW w:type="dxa" w:w="2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20 min</w:t>
            </w:r>
          </w:p>
        </w:tc>
      </w:tr>
      <w:tr>
        <w:tc>
          <w:tcPr>
            <w:tcW w:type="dxa" w:w="52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Whole class debrief: what would better institutional behaviour look like in the cases discussed?</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Discussion</w:t>
            </w:r>
          </w:p>
        </w:tc>
        <w:tc>
          <w:tcPr>
            <w:tcW w:type="dxa" w:w="21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10 min</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Facilitation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000"/>
        <w:gridCol w:w="4360"/>
      </w:tblGrid>
      <w:tr>
        <w:tc>
          <w:tcPr>
            <w:tcW w:type="dxa" w:w="5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Discussion Prompt</w:t>
            </w:r>
          </w:p>
        </w:tc>
        <w:tc>
          <w:tcPr>
            <w:tcW w:type="dxa" w:w="43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Facilitation Notes</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If trust is relational rather than informational, what are the implications for how scientific institutions should be reformed — not just how they communicate?</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Key distinction: communication reform (better messaging) vs. institutional reform (open access, preregistration, independent funding). Students often default to communication solutions. Push: what would institutions have to actually do differently, not just say differently?</w:t>
            </w:r>
          </w:p>
        </w:tc>
      </w:tr>
      <w:tr>
        <w:tc>
          <w:tcPr>
            <w:tcW w:type="dxa" w:w="5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The Finnish model integrated media literacy into the national curriculum. Why hasn't this happened in most countries? What are the barriers?</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555555"/>
                <w:sz w:val="18"/>
                <w:szCs w:val="18"/>
              </w:rPr>
              <w:t xml:space="preserve">Political will, curriculum space, teacher training, disagreement about what media literacy means, and partisan fear that media literacy will be used to discredit preferred sources. All real barriers. Discuss what would be needed to overcome each.</w:t>
            </w:r>
          </w:p>
        </w:tc>
      </w:tr>
      <w:tr>
        <w:tc>
          <w:tcPr>
            <w:tcW w:type="dxa" w:w="5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Is it ever appropriate for a scientist to communicate with more certainty than the evidence supports, if it serves public health?</w:t>
            </w:r>
          </w:p>
        </w:tc>
        <w:tc>
          <w:tcPr>
            <w:tcW w:type="dxa" w:w="43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555555"/>
                <w:sz w:val="18"/>
                <w:szCs w:val="18"/>
              </w:rPr>
              <w:t xml:space="preserve">The 'noble lie' in science communication. No clear consensus. Cases: early mask guidance during COVID; certainty in public health messaging. Against: it backfires when discovered, reducing trust more than uncertainty would. For: uncertainty is cognitively exploitable by denial movements. Let students argue both sides.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Final Policy Brief Rubric (1,500 words, 40% of grade)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2000"/>
        <w:gridCol w:w="2560"/>
      </w:tblGrid>
      <w:tr>
        <w:tc>
          <w:tcPr>
            <w:tcW w:type="dxa" w:w="2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Criterion</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Excellent (A)</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Proficient (B)</w:t>
            </w:r>
          </w:p>
        </w:tc>
        <w:tc>
          <w:tcPr>
            <w:tcW w:type="dxa" w:w="25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Developing (C)</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Problem definition</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Specific, contextualised problem identified; causes and effects clearly articulated with evidence; appropriate scale for intervention</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Problem identified but too broad or too narrow; causes partially articulated</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Problem vague or underspecified; causes not analysed; scope unclear</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Evidence use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Six or more course readings cited accurately and relevantly; evidence integrated into argument, not listed</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Four or five readings cited; some relevant use; partial integration</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Fewer than four readings; readings cited but not integrated; inaccurate citations</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Quality of recommendations</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Three specific, actionable recommendations; each linked to evidence; realistic given institutional context</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Recommendations present but vague or not clearly evidence-based; partially realistic</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Fewer than three recommendations; recommendations not actionable or not evidence-based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Counterarguments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Meaningful counterarguments acknowledged; addressed with evidence or reasoned qualification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Counterarguments acknowledged but not addressed substantively</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No counterarguments acknowledged; argument is one-sided</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Clarity and professionalism</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Professional register; clear structure; executive summary-level accessibility; correctly formatted bibliography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professional; some structural or register issues; bibliography mostly correct</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Unprofessional register; structural problems; bibliography errors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Misconceptions to Anticipate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WATCH FOR THESE</w:t>
            </w:r>
          </w:p>
          <w:p>
            <w:pPr>
              <w:spacing w:after="40" w:before="40"/>
            </w:pPr>
            <w:r>
              <w:rPr>
                <w:rFonts w:ascii="Arial" w:cs="Arial" w:eastAsia="Arial" w:hAnsi="Arial"/>
                <w:color w:val="1a1a1a"/>
                <w:sz w:val="20"/>
                <w:szCs w:val="20"/>
              </w:rPr>
              <w:t xml:space="preserve">'Open access and preregistration are technical details, not really about trust' — frame them as trust-building mechanisms: they make science auditable by anyone willing to look, which is precisely what erodes the 'closed guild' perception.</w:t>
            </w:r>
          </w:p>
          <w:p>
            <w:pPr>
              <w:spacing w:after="40" w:before="40"/>
            </w:pPr>
            <w:r>
              <w:rPr>
                <w:rFonts w:ascii="Arial" w:cs="Arial" w:eastAsia="Arial" w:hAnsi="Arial"/>
                <w:color w:val="1a1a1a"/>
                <w:sz w:val="20"/>
                <w:szCs w:val="20"/>
              </w:rPr>
              <w:t xml:space="preserve">'The government should just fund more science communication' — more resources help but the deficit model critique (Unit 3) applies here too. The issue is not quantity of communication but its structural design and messenger credibility.</w:t>
            </w:r>
          </w:p>
          <w:p>
            <w:pPr>
              <w:spacing w:after="40" w:before="40"/>
            </w:pPr>
            <w:r>
              <w:rPr>
                <w:rFonts w:ascii="Arial" w:cs="Arial" w:eastAsia="Arial" w:hAnsi="Arial"/>
                <w:color w:val="1a1a1a"/>
                <w:sz w:val="20"/>
                <w:szCs w:val="20"/>
              </w:rPr>
              <w:t xml:space="preserve">'Other countries have done this, so it should be easy to replicate' — context matters enormously. The Finnish model works within a specific educational culture, political system, and history. Adaptation requires understanding what is transferable and what is context-dependent.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1a1a" w:val="clear"/>
            <w:tcMar>
              <w:top w:type="dxa" w:w="200"/>
              <w:left w:type="dxa" w:w="360"/>
              <w:bottom w:type="dxa" w:w="200"/>
              <w:right w:type="dxa" w:w="360"/>
            </w:tcMar>
          </w:tcPr>
          <w:p>
            <w:pPr>
              <w:spacing w:after="60"/>
            </w:pPr>
            <w:r>
              <w:rPr>
                <w:rFonts w:ascii="Arial" w:cs="Arial" w:eastAsia="Arial" w:hAnsi="Arial"/>
                <w:b/>
                <w:bCs/>
                <w:color w:val="aaccee"/>
                <w:sz w:val="16"/>
                <w:szCs w:val="16"/>
              </w:rPr>
              <w:t xml:space="preserve">CAPSTONE</w:t>
            </w:r>
          </w:p>
          <w:p>
            <w:r>
              <w:rPr>
                <w:rFonts w:ascii="Arial" w:cs="Arial" w:eastAsia="Arial" w:hAnsi="Arial"/>
                <w:b/>
                <w:bCs/>
                <w:color w:val="ffffff"/>
                <w:sz w:val="26"/>
                <w:szCs w:val="26"/>
              </w:rPr>
              <w:t xml:space="preserve">Final Reflection &amp; Assessment Guidance</w:t>
            </w:r>
          </w:p>
        </w:tc>
      </w:tr>
    </w:tbl>
    <w:p>
      <w:pPr>
        <w:spacing w:after="0" w:before="120"/>
      </w:pPr>
      <w:r>
        <w:t xml:space="preserve"/>
      </w:r>
    </w:p>
    <w:p>
      <w:pPr>
        <w:pBdr>
          <w:bottom w:val="single" w:color="0f2642" w:sz="6" w:space="4"/>
        </w:pBdr>
        <w:spacing w:after="100" w:before="260"/>
      </w:pPr>
      <w:r>
        <w:rPr>
          <w:rFonts w:ascii="Arial" w:cs="Arial" w:eastAsia="Arial" w:hAnsi="Arial"/>
          <w:b/>
          <w:bCs/>
          <w:color w:val="0f2642"/>
          <w:sz w:val="22"/>
          <w:szCs w:val="22"/>
        </w:rPr>
        <w:t xml:space="preserve">◆  Capstone Overview</w:t>
      </w:r>
    </w:p>
    <w:p>
      <w:pPr>
        <w:spacing w:after="60" w:before="60"/>
      </w:pPr>
      <w:r>
        <w:rPr>
          <w:rFonts w:ascii="Arial" w:cs="Arial" w:eastAsia="Arial" w:hAnsi="Arial"/>
          <w:color w:val="1a1a1a"/>
          <w:sz w:val="20"/>
          <w:szCs w:val="20"/>
        </w:rPr>
        <w:t xml:space="preserve">The capstone is the summative assessment of the course. The final policy brief requires students to synthesise all six unit frameworks in service of a specific, real-world antiscience challenge. This section provides guidance on brief selection, common writing problems, and final grade calibration.</w:t>
      </w:r>
    </w:p>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Choosing a Suitable Policy Brief Focus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d4a017" w:sz="12"/>
              <w:bottom w:val="none" w:color="ffffff" w:sz="0"/>
              <w:right w:val="none" w:color="ffffff" w:sz="0"/>
            </w:tcBorders>
            <w:shd w:fill="fffbeb" w:val="clear"/>
            <w:tcMar>
              <w:top w:type="dxa" w:w="120"/>
              <w:left w:type="dxa" w:w="200"/>
              <w:bottom w:type="dxa" w:w="120"/>
              <w:right w:type="dxa" w:w="200"/>
            </w:tcMar>
          </w:tcPr>
          <w:p>
            <w:pPr>
              <w:spacing w:after="60"/>
            </w:pPr>
            <w:r>
              <w:rPr>
                <w:rFonts w:ascii="Arial" w:cs="Arial" w:eastAsia="Arial" w:hAnsi="Arial"/>
                <w:b/>
                <w:bCs/>
                <w:color w:val="92400e"/>
                <w:spacing w:val="40"/>
                <w:sz w:val="16"/>
                <w:szCs w:val="16"/>
              </w:rPr>
              <w:t xml:space="preserve">GUIDANCE FOR STUDENTS (share at Week 10)</w:t>
            </w:r>
          </w:p>
          <w:p>
            <w:pPr>
              <w:spacing w:after="40" w:before="40"/>
            </w:pPr>
            <w:r>
              <w:rPr>
                <w:rFonts w:ascii="Arial" w:cs="Arial" w:eastAsia="Arial" w:hAnsi="Arial"/>
                <w:color w:val="1a1a1a"/>
                <w:sz w:val="20"/>
                <w:szCs w:val="20"/>
              </w:rPr>
              <w:t xml:space="preserve">The best briefs are specific: 'vaccine hesitancy in rural communities' is better than 'vaccine misinformation generally.'</w:t>
            </w:r>
          </w:p>
          <w:p>
            <w:pPr>
              <w:spacing w:after="40" w:before="40"/>
            </w:pPr>
            <w:r>
              <w:rPr>
                <w:rFonts w:ascii="Arial" w:cs="Arial" w:eastAsia="Arial" w:hAnsi="Arial"/>
                <w:color w:val="1a1a1a"/>
                <w:sz w:val="20"/>
                <w:szCs w:val="20"/>
              </w:rPr>
              <w:t xml:space="preserve">The decision-maker must have actual authority to act on your recommendations: a school board can change curriculum; it cannot change social media algorithms.</w:t>
            </w:r>
          </w:p>
          <w:p>
            <w:pPr>
              <w:spacing w:after="40" w:before="40"/>
            </w:pPr>
            <w:r>
              <w:rPr>
                <w:rFonts w:ascii="Arial" w:cs="Arial" w:eastAsia="Arial" w:hAnsi="Arial"/>
                <w:color w:val="1a1a1a"/>
                <w:sz w:val="20"/>
                <w:szCs w:val="20"/>
              </w:rPr>
              <w:t xml:space="preserve">Choose a topic you have genuine local or professional knowledge about — this produces more grounded, credible recommendations.</w:t>
            </w:r>
          </w:p>
          <w:p>
            <w:pPr>
              <w:spacing w:after="40" w:before="40"/>
            </w:pPr>
            <w:r>
              <w:rPr>
                <w:rFonts w:ascii="Arial" w:cs="Arial" w:eastAsia="Arial" w:hAnsi="Arial"/>
                <w:color w:val="1a1a1a"/>
                <w:sz w:val="20"/>
                <w:szCs w:val="20"/>
              </w:rPr>
              <w:t xml:space="preserve">Avoid topics where your analysis is entirely dependent on secondary sources. Some primary engagement (interview, document analysis, community knowledge) strengthens the brief significantly.</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Common Policy Brief Writing Problems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9b1c1c" w:sz="12"/>
              <w:bottom w:val="none" w:color="ffffff" w:sz="0"/>
              <w:right w:val="none" w:color="ffffff" w:sz="0"/>
            </w:tcBorders>
            <w:shd w:fill="fef2f2" w:val="clear"/>
            <w:tcMar>
              <w:top w:type="dxa" w:w="120"/>
              <w:left w:type="dxa" w:w="200"/>
              <w:bottom w:type="dxa" w:w="120"/>
              <w:right w:type="dxa" w:w="200"/>
            </w:tcMar>
          </w:tcPr>
          <w:p>
            <w:pPr>
              <w:spacing w:after="60"/>
            </w:pPr>
            <w:r>
              <w:rPr>
                <w:rFonts w:ascii="Arial" w:cs="Arial" w:eastAsia="Arial" w:hAnsi="Arial"/>
                <w:b/>
                <w:bCs/>
                <w:color w:val="9b1c1c"/>
                <w:spacing w:val="40"/>
                <w:sz w:val="16"/>
                <w:szCs w:val="16"/>
              </w:rPr>
              <w:t xml:space="preserve">MOST FREQUENT ISSUES</w:t>
            </w:r>
          </w:p>
          <w:p>
            <w:pPr>
              <w:spacing w:after="40" w:before="40"/>
            </w:pPr>
            <w:r>
              <w:rPr>
                <w:rFonts w:ascii="Arial" w:cs="Arial" w:eastAsia="Arial" w:hAnsi="Arial"/>
                <w:color w:val="1a1a1a"/>
                <w:sz w:val="20"/>
                <w:szCs w:val="20"/>
              </w:rPr>
              <w:t xml:space="preserve">Recommendations are too vague: 'improve science communication' is not actionable. 'Hire a full-time science communication officer embedded in the local public health unit, reporting to the director' is actionable.</w:t>
            </w:r>
          </w:p>
          <w:p>
            <w:pPr>
              <w:spacing w:after="40" w:before="40"/>
            </w:pPr>
            <w:r>
              <w:rPr>
                <w:rFonts w:ascii="Arial" w:cs="Arial" w:eastAsia="Arial" w:hAnsi="Arial"/>
                <w:color w:val="1a1a1a"/>
                <w:sz w:val="20"/>
                <w:szCs w:val="20"/>
              </w:rPr>
              <w:t xml:space="preserve">Evidence is listed rather than integrated: citations should appear at the moment of the claim they support, not collected at the end of a paragraph or section.</w:t>
            </w:r>
          </w:p>
          <w:p>
            <w:pPr>
              <w:spacing w:after="40" w:before="40"/>
            </w:pPr>
            <w:r>
              <w:rPr>
                <w:rFonts w:ascii="Arial" w:cs="Arial" w:eastAsia="Arial" w:hAnsi="Arial"/>
                <w:color w:val="1a1a1a"/>
                <w:sz w:val="20"/>
                <w:szCs w:val="20"/>
              </w:rPr>
              <w:t xml:space="preserve">Counterarguments are dismissed rather than engaged: a good brief acknowledges the strongest version of the opposing view and shows why the recommendation holds despite it.</w:t>
            </w:r>
          </w:p>
          <w:p>
            <w:pPr>
              <w:spacing w:after="40" w:before="40"/>
            </w:pPr>
            <w:r>
              <w:rPr>
                <w:rFonts w:ascii="Arial" w:cs="Arial" w:eastAsia="Arial" w:hAnsi="Arial"/>
                <w:color w:val="1a1a1a"/>
                <w:sz w:val="20"/>
                <w:szCs w:val="20"/>
              </w:rPr>
              <w:t xml:space="preserve">The decision-maker is not kept in mind: the brief should be written as if the reader has limited time, significant authority, and a healthy scepticism of academic recommendations. Lead with the most important points.</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Final Grade Calibration Notes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7490" w:sz="12"/>
              <w:bottom w:val="none" w:color="ffffff" w:sz="0"/>
              <w:right w:val="none" w:color="ffffff" w:sz="0"/>
            </w:tcBorders>
            <w:shd w:fill="e0f2f7" w:val="clear"/>
            <w:tcMar>
              <w:top w:type="dxa" w:w="120"/>
              <w:left w:type="dxa" w:w="200"/>
              <w:bottom w:type="dxa" w:w="120"/>
              <w:right w:type="dxa" w:w="200"/>
            </w:tcMar>
          </w:tcPr>
          <w:p>
            <w:pPr>
              <w:spacing w:after="60"/>
            </w:pPr>
            <w:r>
              <w:rPr>
                <w:rFonts w:ascii="Arial" w:cs="Arial" w:eastAsia="Arial" w:hAnsi="Arial"/>
                <w:b/>
                <w:bCs/>
                <w:color w:val="0e7490"/>
                <w:spacing w:val="40"/>
                <w:sz w:val="16"/>
                <w:szCs w:val="16"/>
              </w:rPr>
              <w:t xml:space="preserve">FOR INSTRUCTORS</w:t>
            </w:r>
          </w:p>
          <w:p>
            <w:pPr>
              <w:spacing w:after="40" w:before="40"/>
            </w:pPr>
            <w:r>
              <w:rPr>
                <w:rFonts w:ascii="Arial" w:cs="Arial" w:eastAsia="Arial" w:hAnsi="Arial"/>
                <w:color w:val="1a1a1a"/>
                <w:sz w:val="20"/>
                <w:szCs w:val="20"/>
              </w:rPr>
              <w:t xml:space="preserve">A-range briefs are distinguished not by length or citation count but by specificity and intellectual courage — they make claims that are risky (because they could be wrong) and defend them with evidence.</w:t>
            </w:r>
          </w:p>
          <w:p>
            <w:pPr>
              <w:spacing w:after="40" w:before="40"/>
            </w:pPr>
            <w:r>
              <w:rPr>
                <w:rFonts w:ascii="Arial" w:cs="Arial" w:eastAsia="Arial" w:hAnsi="Arial"/>
                <w:color w:val="1a1a1a"/>
                <w:sz w:val="20"/>
                <w:szCs w:val="20"/>
              </w:rPr>
              <w:t xml:space="preserve">B-range briefs are competent but safe. They apply the frameworks correctly but do not push beyond the course material into genuine analytical risk.</w:t>
            </w:r>
          </w:p>
          <w:p>
            <w:pPr>
              <w:spacing w:after="40" w:before="40"/>
            </w:pPr>
            <w:r>
              <w:rPr>
                <w:rFonts w:ascii="Arial" w:cs="Arial" w:eastAsia="Arial" w:hAnsi="Arial"/>
                <w:color w:val="1a1a1a"/>
                <w:sz w:val="20"/>
                <w:szCs w:val="20"/>
              </w:rPr>
              <w:t xml:space="preserve">The counterargument criterion separates A from B more reliably than any other single criterion. Students who engage seriously with the strongest objection to their recommendations demonstrate genuine understanding.</w:t>
            </w:r>
          </w:p>
          <w:p>
            <w:pPr>
              <w:spacing w:after="40" w:before="40"/>
            </w:pPr>
            <w:r>
              <w:rPr>
                <w:rFonts w:ascii="Arial" w:cs="Arial" w:eastAsia="Arial" w:hAnsi="Arial"/>
                <w:color w:val="1a1a1a"/>
                <w:sz w:val="20"/>
                <w:szCs w:val="20"/>
              </w:rPr>
              <w:t xml:space="preserve">Watch for briefs that are well-written but factually thin. Polished prose can mask a lack of substantive engagement. Weight the evidence criterion accordingly.</w:t>
            </w:r>
          </w:p>
        </w:tc>
      </w:tr>
    </w:tbl>
    <w:p>
      <w:pPr>
        <w:spacing w:after="0" w:before="100"/>
      </w:pPr>
      <w:r>
        <w:t xml:space="preserve"/>
      </w:r>
    </w:p>
    <w:p>
      <w:pPr>
        <w:pBdr>
          <w:bottom w:val="single" w:color="0f2642" w:sz="6" w:space="4"/>
        </w:pBdr>
        <w:spacing w:after="100" w:before="260"/>
      </w:pPr>
      <w:r>
        <w:rPr>
          <w:rFonts w:ascii="Arial" w:cs="Arial" w:eastAsia="Arial" w:hAnsi="Arial"/>
          <w:b/>
          <w:bCs/>
          <w:color w:val="0f2642"/>
          <w:sz w:val="22"/>
          <w:szCs w:val="22"/>
        </w:rPr>
        <w:t xml:space="preserve">◆  Discussion Participation Rubric (20% of grade — ongoing)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00"/>
        <w:gridCol w:w="2000"/>
        <w:gridCol w:w="2560"/>
      </w:tblGrid>
      <w:tr>
        <w:tc>
          <w:tcPr>
            <w:tcW w:type="dxa" w:w="28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Criterion</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Excellent (A)</w:t>
            </w:r>
          </w:p>
        </w:tc>
        <w:tc>
          <w:tcPr>
            <w:tcW w:type="dxa" w:w="200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Proficient (B)</w:t>
            </w:r>
          </w:p>
        </w:tc>
        <w:tc>
          <w:tcPr>
            <w:tcW w:type="dxa" w:w="2560"/>
            <w:tcBorders>
              <w:top w:val="single" w:color="cccccc" w:sz="1"/>
              <w:left w:val="single" w:color="cccccc" w:sz="1"/>
              <w:bottom w:val="single" w:color="cccccc" w:sz="1"/>
              <w:right w:val="single" w:color="cccccc" w:sz="1"/>
            </w:tcBorders>
            <w:shd w:fill="0f2642" w:val="clear"/>
            <w:tcMar>
              <w:top w:type="dxa" w:w="80"/>
              <w:left w:type="dxa" w:w="120"/>
              <w:bottom w:type="dxa" w:w="80"/>
              <w:right w:type="dxa" w:w="120"/>
            </w:tcMar>
          </w:tcPr>
          <w:p>
            <w:r>
              <w:rPr>
                <w:rFonts w:ascii="Arial" w:cs="Arial" w:eastAsia="Arial" w:hAnsi="Arial"/>
                <w:b/>
                <w:bCs/>
                <w:color w:val="ffffff"/>
                <w:sz w:val="18"/>
                <w:szCs w:val="18"/>
              </w:rPr>
              <w:t xml:space="preserve">Developing (C)</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Engagement quality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Contributes regularly; pushes discussion forward; builds on others' contributions substantively</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Contributes regularly but contributions are often restatements rather than extensions</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Contributes infrequently; contributions do not advance discussion</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Evidence of preparation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Clearly draws on assigned readings in discussion; can cite specific findings or arguments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Some evidence of reading; occasional specific reference to texts</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Little evidence of preparation; discussion contributions are intuition-based</w:t>
            </w:r>
          </w:p>
        </w:tc>
      </w:tr>
      <w:tr>
        <w:tc>
          <w:tcPr>
            <w:tcW w:type="dxa" w:w="28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bCs/>
                <w:color w:val="2563a8"/>
                <w:sz w:val="18"/>
                <w:szCs w:val="18"/>
              </w:rPr>
              <w:t xml:space="preserve">Intellectual risk</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Raises challenging questions; takes positions and defends them; willing to be wrong</w:t>
            </w:r>
          </w:p>
        </w:tc>
        <w:tc>
          <w:tcPr>
            <w:tcW w:type="dxa" w:w="200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Participates but avoids commitment to positions; rarely takes intellectual risks</w:t>
            </w:r>
          </w:p>
        </w:tc>
        <w:tc>
          <w:tcPr>
            <w:tcW w:type="dxa" w:w="2560"/>
            <w:tcBorders>
              <w:top w:val="single" w:color="cccccc" w:sz="1"/>
              <w:left w:val="single" w:color="cccccc" w:sz="1"/>
              <w:bottom w:val="single" w:color="cccccc" w:sz="1"/>
              <w:right w:val="single" w:color="cccccc" w:sz="1"/>
            </w:tcBorders>
            <w:shd w:fill="dbeafe" w:val="clear"/>
            <w:tcMar>
              <w:top w:type="dxa" w:w="80"/>
              <w:left w:type="dxa" w:w="120"/>
              <w:bottom w:type="dxa" w:w="80"/>
              <w:right w:type="dxa" w:w="120"/>
            </w:tcMar>
          </w:tcPr>
          <w:p>
            <w:r>
              <w:rPr>
                <w:rFonts w:ascii="Arial" w:cs="Arial" w:eastAsia="Arial" w:hAnsi="Arial"/>
                <w:b w:val="false"/>
                <w:bCs w:val="false"/>
                <w:color w:val="1a1a1a"/>
                <w:sz w:val="18"/>
                <w:szCs w:val="18"/>
              </w:rPr>
              <w:t xml:space="preserve">Passive participation; avoids positions; does not engage with disagreement</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2563a8"/>
                <w:sz w:val="18"/>
                <w:szCs w:val="18"/>
              </w:rPr>
              <w:t xml:space="preserve">Engagement with peers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Responds directly to peers' contributions; acknowledges good points; pushes back constructively</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Mostly addresses instructor rather than peers</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Does not engage with peers' contributions</w:t>
            </w:r>
          </w:p>
        </w:tc>
      </w:tr>
    </w:tbl>
    <w:p>
      <w:pPr>
        <w:spacing w:after="0" w:before="140"/>
      </w:pPr>
      <w:r>
        <w:t xml:space="preserve"/>
      </w:r>
    </w:p>
    <w:p>
      <w:pPr>
        <w:jc w:val="center"/>
      </w:pPr>
      <w:r>
        <w:rPr>
          <w:rFonts w:ascii="Arial" w:cs="Arial" w:eastAsia="Arial" w:hAnsi="Arial"/>
          <w:i/>
          <w:iCs/>
          <w:color w:val="888888"/>
          <w:sz w:val="16"/>
          <w:szCs w:val="16"/>
        </w:rPr>
        <w:t xml:space="preserve">This facilitator's guide may be freely adapted for non-commercial educational use.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Understanding Antiscience — Facilitator's Guide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2026-05-18T22:48:54.681Z</dcterms:created>
  <dcterms:modified xsi:type="dcterms:W3CDTF">2026-05-18T22:48:54.695Z</dcterms:modified>
</cp:coreProperties>
</file>

<file path=docProps/custom.xml><?xml version="1.0" encoding="utf-8"?>
<Properties xmlns="http://schemas.openxmlformats.org/officeDocument/2006/custom-properties" xmlns:vt="http://schemas.openxmlformats.org/officeDocument/2006/docPropsVTypes"/>
</file>