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f2642" w:val="clear"/>
            <w:tcMar>
              <w:top w:type="dxa" w:w="520"/>
              <w:left w:type="dxa" w:w="480"/>
              <w:bottom w:type="dxa" w:w="520"/>
              <w:right w:type="dxa" w:w="480"/>
            </w:tcMar>
          </w:tcPr>
          <w:p>
            <w:pPr>
              <w:spacing w:after="80"/>
            </w:pPr>
            <w:r>
              <w:rPr>
                <w:rFonts w:ascii="Arial" w:cs="Arial" w:eastAsia="Arial" w:hAnsi="Arial"/>
                <w:b/>
                <w:bCs/>
                <w:color w:val="88aacc"/>
                <w:spacing w:val="120"/>
                <w:sz w:val="18"/>
                <w:szCs w:val="18"/>
              </w:rPr>
              <w:t xml:space="preserve">ANNOTATED READING PACKET</w:t>
            </w:r>
          </w:p>
          <w:p>
            <w:pPr>
              <w:spacing w:after="60"/>
            </w:pPr>
            <w:r>
              <w:rPr>
                <w:rFonts w:ascii="Arial" w:cs="Arial" w:eastAsia="Arial" w:hAnsi="Arial"/>
                <w:b/>
                <w:bCs/>
                <w:color w:val="ffffff"/>
                <w:sz w:val="52"/>
                <w:szCs w:val="52"/>
              </w:rPr>
              <w:t xml:space="preserve">Understanding</w:t>
            </w:r>
          </w:p>
          <w:p>
            <w:pPr>
              <w:spacing w:after="120"/>
            </w:pPr>
            <w:r>
              <w:rPr>
                <w:rFonts w:ascii="Arial" w:cs="Arial" w:eastAsia="Arial" w:hAnsi="Arial"/>
                <w:b/>
                <w:bCs/>
                <w:color w:val="d4a017"/>
                <w:sz w:val="52"/>
                <w:szCs w:val="52"/>
              </w:rPr>
              <w:t xml:space="preserve">Antiscience</w:t>
            </w:r>
          </w:p>
          <w:p>
            <w:pPr>
              <w:spacing w:after="280"/>
            </w:pPr>
            <w:r>
              <w:rPr>
                <w:rFonts w:ascii="Arial" w:cs="Arial" w:eastAsia="Arial" w:hAnsi="Arial"/>
                <w:color w:val="aaccee"/>
                <w:sz w:val="22"/>
                <w:szCs w:val="22"/>
              </w:rPr>
              <w:t xml:space="preserve">Origins · Mechanisms · Countermeasures</w:t>
            </w:r>
          </w:p>
          <w:p>
            <w:pPr>
              <w:spacing w:after="40"/>
            </w:pPr>
            <w:r>
              <w:rPr>
                <w:rFonts w:ascii="Arial" w:cs="Arial" w:eastAsia="Arial" w:hAnsi="Arial"/>
                <w:i/>
                <w:iCs/>
                <w:color w:val="88aacc"/>
                <w:sz w:val="18"/>
                <w:szCs w:val="18"/>
              </w:rPr>
              <w:t xml:space="preserve">Full citations  ·  Access links  ·  Annotations  ·  Reading guidance</w:t>
            </w:r>
          </w:p>
        </w:tc>
      </w:tr>
    </w:tbl>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dbeafe" w:val="clear"/>
            <w:tcMar>
              <w:top w:type="dxa" w:w="100"/>
              <w:left w:type="dxa" w:w="140"/>
              <w:bottom w:type="dxa" w:w="100"/>
              <w:right w:type="dxa" w:w="140"/>
            </w:tcMar>
          </w:tcPr>
          <w:p>
            <w:pPr>
              <w:jc w:val="center"/>
            </w:pPr>
            <w:r>
              <w:rPr>
                <w:rFonts w:ascii="Arial" w:cs="Arial" w:eastAsia="Arial" w:hAnsi="Arial"/>
                <w:b/>
                <w:bCs/>
                <w:color w:val="0f2642"/>
                <w:sz w:val="24"/>
                <w:szCs w:val="24"/>
              </w:rPr>
              <w:t xml:space="preserve">28 readings</w:t>
            </w:r>
          </w:p>
          <w:p>
            <w:pPr>
              <w:jc w:val="center"/>
            </w:pPr>
            <w:r>
              <w:rPr>
                <w:rFonts w:ascii="Arial" w:cs="Arial" w:eastAsia="Arial" w:hAnsi="Arial"/>
                <w:color w:val="555555"/>
                <w:sz w:val="16"/>
                <w:szCs w:val="16"/>
              </w:rPr>
              <w:t xml:space="preserve">Required + supplementary</w:t>
            </w:r>
          </w:p>
        </w:tc>
        <w:tc>
          <w:tcPr>
            <w:tcW w:type="dxa" w:w="3120"/>
            <w:tcBorders>
              <w:top w:val="single" w:color="cccccc" w:sz="1"/>
              <w:left w:val="single" w:color="cccccc" w:sz="1"/>
              <w:bottom w:val="single" w:color="cccccc" w:sz="1"/>
              <w:right w:val="single" w:color="cccccc" w:sz="1"/>
            </w:tcBorders>
            <w:shd w:fill="dbeafe" w:val="clear"/>
            <w:tcMar>
              <w:top w:type="dxa" w:w="100"/>
              <w:left w:type="dxa" w:w="140"/>
              <w:bottom w:type="dxa" w:w="100"/>
              <w:right w:type="dxa" w:w="140"/>
            </w:tcMar>
          </w:tcPr>
          <w:p>
            <w:pPr>
              <w:jc w:val="center"/>
            </w:pPr>
            <w:r>
              <w:rPr>
                <w:rFonts w:ascii="Arial" w:cs="Arial" w:eastAsia="Arial" w:hAnsi="Arial"/>
                <w:b/>
                <w:bCs/>
                <w:color w:val="0f2642"/>
                <w:sz w:val="24"/>
                <w:szCs w:val="24"/>
              </w:rPr>
              <w:t xml:space="preserve">6 units</w:t>
            </w:r>
          </w:p>
          <w:p>
            <w:pPr>
              <w:jc w:val="center"/>
            </w:pPr>
            <w:r>
              <w:rPr>
                <w:rFonts w:ascii="Arial" w:cs="Arial" w:eastAsia="Arial" w:hAnsi="Arial"/>
                <w:color w:val="555555"/>
                <w:sz w:val="16"/>
                <w:szCs w:val="16"/>
              </w:rPr>
              <w:t xml:space="preserve">Organised by course week</w:t>
            </w:r>
          </w:p>
        </w:tc>
        <w:tc>
          <w:tcPr>
            <w:tcW w:type="dxa" w:w="3120"/>
            <w:tcBorders>
              <w:top w:val="single" w:color="cccccc" w:sz="1"/>
              <w:left w:val="single" w:color="cccccc" w:sz="1"/>
              <w:bottom w:val="single" w:color="cccccc" w:sz="1"/>
              <w:right w:val="single" w:color="cccccc" w:sz="1"/>
            </w:tcBorders>
            <w:shd w:fill="dbeafe" w:val="clear"/>
            <w:tcMar>
              <w:top w:type="dxa" w:w="100"/>
              <w:left w:type="dxa" w:w="140"/>
              <w:bottom w:type="dxa" w:w="100"/>
              <w:right w:type="dxa" w:w="140"/>
            </w:tcMar>
          </w:tcPr>
          <w:p>
            <w:pPr>
              <w:jc w:val="center"/>
            </w:pPr>
            <w:r>
              <w:rPr>
                <w:rFonts w:ascii="Arial" w:cs="Arial" w:eastAsia="Arial" w:hAnsi="Arial"/>
                <w:b/>
                <w:bCs/>
                <w:color w:val="0f2642"/>
                <w:sz w:val="24"/>
                <w:szCs w:val="24"/>
              </w:rPr>
              <w:t xml:space="preserve">Access noted</w:t>
            </w:r>
          </w:p>
          <w:p>
            <w:pPr>
              <w:jc w:val="center"/>
            </w:pPr>
            <w:r>
              <w:rPr>
                <w:rFonts w:ascii="Arial" w:cs="Arial" w:eastAsia="Arial" w:hAnsi="Arial"/>
                <w:color w:val="555555"/>
                <w:sz w:val="16"/>
                <w:szCs w:val="16"/>
              </w:rPr>
              <w:t xml:space="preserve">Open access links where available</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3a5c" w:val="clear"/>
            <w:tcMar>
              <w:top w:type="dxa" w:w="180"/>
              <w:left w:type="dxa" w:w="360"/>
              <w:bottom w:type="dxa" w:w="180"/>
              <w:right w:type="dxa" w:w="360"/>
            </w:tcMar>
          </w:tcPr>
          <w:p>
            <w:pPr>
              <w:spacing w:after="50"/>
            </w:pPr>
            <w:r>
              <w:rPr>
                <w:rFonts w:ascii="Arial" w:cs="Arial" w:eastAsia="Arial" w:hAnsi="Arial"/>
                <w:b/>
                <w:bCs/>
                <w:color w:val="aaccee"/>
                <w:sz w:val="16"/>
                <w:szCs w:val="16"/>
              </w:rPr>
              <w:t xml:space="preserve">READING PACKET GUIDE</w:t>
            </w:r>
          </w:p>
          <w:p>
            <w:r>
              <w:rPr>
                <w:rFonts w:ascii="Arial" w:cs="Arial" w:eastAsia="Arial" w:hAnsi="Arial"/>
                <w:b/>
                <w:bCs/>
                <w:color w:val="ffffff"/>
                <w:sz w:val="26"/>
                <w:szCs w:val="26"/>
              </w:rPr>
              <w:t xml:space="preserve">How to Use This Packet</w:t>
            </w:r>
          </w:p>
        </w:tc>
      </w:tr>
    </w:tbl>
    <w:p>
      <w:pPr>
        <w:spacing w:after="0" w:before="120"/>
      </w:pPr>
      <w:r>
        <w:t xml:space="preserve"/>
      </w:r>
    </w:p>
    <w:p>
      <w:pPr>
        <w:spacing w:after="60" w:before="60"/>
      </w:pPr>
      <w:r>
        <w:rPr>
          <w:rFonts w:ascii="Arial" w:cs="Arial" w:eastAsia="Arial" w:hAnsi="Arial"/>
          <w:i w:val="false"/>
          <w:iCs w:val="false"/>
          <w:color w:val="1a1a1a"/>
          <w:sz w:val="20"/>
          <w:szCs w:val="20"/>
        </w:rPr>
        <w:t xml:space="preserve">This packet contains the full annotated reading list for the Understanding Antiscience course. Every required and supplementary reading is listed in unit order with a full citation, access information, a paragraph explaining why it is assigned, a list of specific things to look for while reading, and a note on how it connects to course discussions.</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563a8" w:sz="12"/>
              <w:bottom w:val="none" w:color="ffffff" w:sz="0"/>
              <w:right w:val="none" w:color="ffffff" w:sz="0"/>
            </w:tcBorders>
            <w:shd w:fill="dbeafe" w:val="clear"/>
            <w:tcMar>
              <w:top w:type="dxa" w:w="100"/>
              <w:left w:type="dxa" w:w="200"/>
              <w:bottom w:type="dxa" w:w="100"/>
              <w:right w:type="dxa" w:w="200"/>
            </w:tcMar>
          </w:tcPr>
          <w:p>
            <w:pPr>
              <w:spacing w:after="60"/>
            </w:pPr>
            <w:r>
              <w:rPr>
                <w:rFonts w:ascii="Arial" w:cs="Arial" w:eastAsia="Arial" w:hAnsi="Arial"/>
                <w:b/>
                <w:bCs/>
                <w:color w:val="2563a8"/>
                <w:spacing w:val="40"/>
                <w:sz w:val="16"/>
                <w:szCs w:val="16"/>
              </w:rPr>
              <w:t xml:space="preserve">HOW EACH READING CARD IS ORGANISED</w:t>
            </w:r>
          </w:p>
          <w:p>
            <w:pPr>
              <w:spacing w:after="30" w:before="30"/>
            </w:pPr>
            <w:r>
              <w:rPr>
                <w:rFonts w:ascii="Arial" w:cs="Arial" w:eastAsia="Arial" w:hAnsi="Arial"/>
                <w:color w:val="1a1a1a"/>
                <w:sz w:val="20"/>
                <w:szCs w:val="20"/>
              </w:rPr>
              <w:t xml:space="preserve">Citation — full bibliographic reference in Chicago author-date format</w:t>
            </w:r>
          </w:p>
          <w:p>
            <w:pPr>
              <w:spacing w:after="30" w:before="30"/>
            </w:pPr>
            <w:r>
              <w:rPr>
                <w:rFonts w:ascii="Arial" w:cs="Arial" w:eastAsia="Arial" w:hAnsi="Arial"/>
                <w:color w:val="1a1a1a"/>
                <w:sz w:val="20"/>
                <w:szCs w:val="20"/>
              </w:rPr>
              <w:t xml:space="preserve">Access — whether the reading is Open Access (free), available through most university libraries, or requires purchase</w:t>
            </w:r>
          </w:p>
          <w:p>
            <w:pPr>
              <w:spacing w:after="30" w:before="30"/>
            </w:pPr>
            <w:r>
              <w:rPr>
                <w:rFonts w:ascii="Arial" w:cs="Arial" w:eastAsia="Arial" w:hAnsi="Arial"/>
                <w:color w:val="1a1a1a"/>
                <w:sz w:val="20"/>
                <w:szCs w:val="20"/>
              </w:rPr>
              <w:t xml:space="preserve">Why this reading — the pedagogical rationale; what the reading contributes to the course that others do not</w:t>
            </w:r>
          </w:p>
          <w:p>
            <w:pPr>
              <w:spacing w:after="30" w:before="30"/>
            </w:pPr>
            <w:r>
              <w:rPr>
                <w:rFonts w:ascii="Arial" w:cs="Arial" w:eastAsia="Arial" w:hAnsi="Arial"/>
                <w:color w:val="1a1a1a"/>
                <w:sz w:val="20"/>
                <w:szCs w:val="20"/>
              </w:rPr>
              <w:t xml:space="preserve">What to look for — specific passages, arguments, or data points to notice on your first read</w:t>
            </w:r>
          </w:p>
          <w:p>
            <w:pPr>
              <w:spacing w:after="30" w:before="30"/>
            </w:pPr>
            <w:r>
              <w:rPr>
                <w:rFonts w:ascii="Arial" w:cs="Arial" w:eastAsia="Arial" w:hAnsi="Arial"/>
                <w:color w:val="1a1a1a"/>
                <w:sz w:val="20"/>
                <w:szCs w:val="20"/>
              </w:rPr>
              <w:t xml:space="preserve">Connects to — the discussion questions and activities in the course that this reading directly informs</w:t>
            </w:r>
          </w:p>
        </w:tc>
      </w:tr>
    </w:tbl>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166534" w:sz="12"/>
              <w:bottom w:val="none" w:color="ffffff" w:sz="0"/>
              <w:right w:val="none" w:color="ffffff" w:sz="0"/>
            </w:tcBorders>
            <w:shd w:fill="dcfce7" w:val="clear"/>
            <w:tcMar>
              <w:top w:type="dxa" w:w="100"/>
              <w:left w:type="dxa" w:w="200"/>
              <w:bottom w:type="dxa" w:w="100"/>
              <w:right w:type="dxa" w:w="200"/>
            </w:tcMar>
          </w:tcPr>
          <w:p>
            <w:pPr>
              <w:spacing w:after="60"/>
            </w:pPr>
            <w:r>
              <w:rPr>
                <w:rFonts w:ascii="Arial" w:cs="Arial" w:eastAsia="Arial" w:hAnsi="Arial"/>
                <w:b/>
                <w:bCs/>
                <w:color w:val="166534"/>
                <w:spacing w:val="40"/>
                <w:sz w:val="16"/>
                <w:szCs w:val="16"/>
              </w:rPr>
              <w:t xml:space="preserve">A NOTE ON ACCESS</w:t>
            </w:r>
          </w:p>
          <w:p>
            <w:pPr>
              <w:spacing w:after="30" w:before="30"/>
            </w:pPr>
            <w:r>
              <w:rPr>
                <w:rFonts w:ascii="Arial" w:cs="Arial" w:eastAsia="Arial" w:hAnsi="Arial"/>
                <w:color w:val="1a1a1a"/>
                <w:sz w:val="20"/>
                <w:szCs w:val="20"/>
              </w:rPr>
              <w:t xml:space="preserve">Open Access readings are freely available at the URL listed. No library access required.</w:t>
            </w:r>
          </w:p>
          <w:p>
            <w:pPr>
              <w:spacing w:after="30" w:before="30"/>
            </w:pPr>
            <w:r>
              <w:rPr>
                <w:rFonts w:ascii="Arial" w:cs="Arial" w:eastAsia="Arial" w:hAnsi="Arial"/>
                <w:color w:val="1a1a1a"/>
                <w:sz w:val="20"/>
                <w:szCs w:val="20"/>
              </w:rPr>
              <w:t xml:space="preserve">Library Access readings are available through most university and public library systems, including interlibrary loan.</w:t>
            </w:r>
          </w:p>
          <w:p>
            <w:pPr>
              <w:spacing w:after="30" w:before="30"/>
            </w:pPr>
            <w:r>
              <w:rPr>
                <w:rFonts w:ascii="Arial" w:cs="Arial" w:eastAsia="Arial" w:hAnsi="Arial"/>
                <w:color w:val="1a1a1a"/>
                <w:sz w:val="20"/>
                <w:szCs w:val="20"/>
              </w:rPr>
              <w:t xml:space="preserve">Purchase Required readings are not available for free online. Check your institution's library before purchasing.</w:t>
            </w:r>
          </w:p>
          <w:p>
            <w:pPr>
              <w:spacing w:after="30" w:before="30"/>
            </w:pPr>
            <w:r>
              <w:rPr>
                <w:rFonts w:ascii="Arial" w:cs="Arial" w:eastAsia="Arial" w:hAnsi="Arial"/>
                <w:color w:val="1a1a1a"/>
                <w:sz w:val="20"/>
                <w:szCs w:val="20"/>
              </w:rPr>
              <w:t xml:space="preserve">Where no URL is listed for an open access item, search the title in Google Scholar — most are freely available as author pre-prints or institutional repository copies.</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f2642" w:val="clear"/>
            <w:tcMar>
              <w:top w:type="dxa" w:w="180"/>
              <w:left w:type="dxa" w:w="360"/>
              <w:bottom w:type="dxa" w:w="180"/>
              <w:right w:type="dxa" w:w="360"/>
            </w:tcMar>
          </w:tcPr>
          <w:p>
            <w:pPr>
              <w:spacing w:after="50"/>
            </w:pPr>
            <w:r>
              <w:rPr>
                <w:rFonts w:ascii="Arial" w:cs="Arial" w:eastAsia="Arial" w:hAnsi="Arial"/>
                <w:b/>
                <w:bCs/>
                <w:color w:val="aaccee"/>
                <w:sz w:val="16"/>
                <w:szCs w:val="16"/>
              </w:rPr>
              <w:t xml:space="preserve">UNIT 1  ·  Weeks 1–2</w:t>
            </w:r>
          </w:p>
          <w:p>
            <w:r>
              <w:rPr>
                <w:rFonts w:ascii="Arial" w:cs="Arial" w:eastAsia="Arial" w:hAnsi="Arial"/>
                <w:b/>
                <w:bCs/>
                <w:color w:val="ffffff"/>
                <w:sz w:val="26"/>
                <w:szCs w:val="26"/>
              </w:rPr>
              <w:t xml:space="preserve">Foundations: What Is Antiscience?</w:t>
            </w:r>
          </w:p>
        </w:tc>
      </w:tr>
    </w:tbl>
    <w:p>
      <w:pPr>
        <w:spacing w:after="0" w:before="100"/>
      </w:pPr>
      <w:r>
        <w:t xml:space="preserve"/>
      </w:r>
    </w:p>
    <w:p>
      <w:pPr>
        <w:pBdr>
          <w:bottom w:val="single" w:color="0f2642" w:sz="6" w:space="4"/>
        </w:pBdr>
        <w:spacing w:after="80" w:before="240"/>
      </w:pPr>
      <w:r>
        <w:rPr>
          <w:rFonts w:ascii="Arial" w:cs="Arial" w:eastAsia="Arial" w:hAnsi="Arial"/>
          <w:b/>
          <w:bCs/>
          <w:color w:val="0f2642"/>
          <w:sz w:val="22"/>
          <w:szCs w:val="22"/>
        </w:rPr>
        <w:t xml:space="preserve">◆  Required Readings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beafe" w:val="clear"/>
            <w:tcMar>
              <w:top w:type="dxa" w:w="80"/>
              <w:left w:type="dxa" w:w="160"/>
              <w:bottom w:type="dxa" w:w="60"/>
              <w:right w:type="dxa" w:w="160"/>
            </w:tcMar>
          </w:tcPr>
          <w:p>
            <w:r>
              <w:rPr>
                <w:rFonts w:ascii="Arial" w:cs="Arial" w:eastAsia="Arial" w:hAnsi="Arial"/>
                <w:b/>
                <w:bCs/>
                <w:color w:val="2563a8"/>
                <w:sz w:val="18"/>
                <w:szCs w:val="18"/>
              </w:rPr>
              <w:t xml:space="preserve">[1]  </w:t>
            </w:r>
            <w:r>
              <w:rPr>
                <w:rFonts w:ascii="Arial" w:cs="Arial" w:eastAsia="Arial" w:hAnsi="Arial"/>
                <w:b/>
                <w:bCs/>
                <w:color w:val="2563a8"/>
                <w:spacing w:val="60"/>
                <w:sz w:val="14"/>
                <w:szCs w:val="14"/>
              </w:rPr>
              <w:t xml:space="preserve">BOOK</w:t>
            </w:r>
            <w:r>
              <w:t xml:space="preserve">   </w:t>
            </w:r>
            <w:r>
              <w:rPr>
                <w:rFonts w:ascii="Arial" w:cs="Arial" w:eastAsia="Arial" w:hAnsi="Arial"/>
                <w:b/>
                <w:bCs/>
                <w:color w:val="92400e"/>
                <w:spacing w:val="40"/>
                <w:sz w:val="14"/>
                <w:szCs w:val="14"/>
              </w:rPr>
              <w:t xml:space="preserve">  CHECK LIBRARY  </w:t>
            </w:r>
          </w:p>
        </w:tc>
      </w:tr>
      <w:tr>
        <w:tc>
          <w:tcPr>
            <w:tcW w:type="dxa" w:w="9360"/>
            <w:tcBorders>
              <w:top w:val="none" w:color="ffffff" w:sz="0"/>
              <w:left w:val="none" w:color="ffffff" w:sz="0"/>
              <w:bottom w:val="none" w:color="ffffff" w:sz="0"/>
              <w:right w:val="none" w:color="ffffff" w:sz="0"/>
            </w:tcBorders>
            <w:shd w:fill="dbeafe" w:val="clear"/>
            <w:tcMar>
              <w:top w:type="dxa" w:w="0"/>
              <w:left w:type="dxa" w:w="160"/>
              <w:bottom w:type="dxa" w:w="80"/>
              <w:right w:type="dxa" w:w="160"/>
            </w:tcMar>
          </w:tcPr>
          <w:p>
            <w:r>
              <w:rPr>
                <w:rFonts w:ascii="Arial" w:cs="Arial" w:eastAsia="Arial" w:hAnsi="Arial"/>
                <w:b/>
                <w:bCs/>
                <w:color w:val="1a3a5c"/>
                <w:sz w:val="20"/>
                <w:szCs w:val="20"/>
              </w:rPr>
              <w:t xml:space="preserve">Sagan, Carl. 1995. The Demon-Haunted World: Science as a Candle in the Dark. New York: Random House. Chapters 1–3.</w:t>
            </w:r>
          </w:p>
          <w:p>
            <w:r>
              <w:t xml:space="preserve"/>
            </w:r>
          </w:p>
        </w:tc>
      </w:tr>
      <w:tr>
        <w:tc>
          <w:tcPr>
            <w:tcW w:type="dxa" w:w="9360"/>
            <w:tcBorders>
              <w:top w:val="none" w:color="ffffff" w:sz="0"/>
              <w:left w:val="single" w:color="2563a8"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2563a8"/>
                <w:spacing w:val="60"/>
                <w:sz w:val="14"/>
                <w:szCs w:val="14"/>
              </w:rPr>
              <w:t xml:space="preserve">WHY THIS READING</w:t>
            </w:r>
          </w:p>
          <w:p>
            <w:r>
              <w:rPr>
                <w:rFonts w:ascii="Arial" w:cs="Arial" w:eastAsia="Arial" w:hAnsi="Arial"/>
                <w:color w:val="1a1a1a"/>
                <w:sz w:val="20"/>
                <w:szCs w:val="20"/>
              </w:rPr>
              <w:t xml:space="preserve">Sagan's opening chapters establish the epistemological foundation for the entire course. His 'baloney detection kit' — a checklist of cognitive tools for evaluating claims — is the most accessible and durable introduction to scientific reasoning for a general audience. No other text covers this ground with the same combination of rigour and readability.</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'baloney detection kit' (Chapter 2): memorise the list; you will use it throughout the course</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Sagan's distinction between scepticism and cynicism — these are not the same</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His examples of pseudoscience: what patterns do they share?</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rhetorical question: why does Sagan think a scientifically literate public matters for democracy?</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1 discussion on scepticism vs. denial; FLICC hallmarks activity; all subsequent units</w:t>
            </w:r>
          </w:p>
        </w:tc>
      </w:tr>
    </w:tbl>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cfce7" w:val="clear"/>
            <w:tcMar>
              <w:top w:type="dxa" w:w="80"/>
              <w:left w:type="dxa" w:w="160"/>
              <w:bottom w:type="dxa" w:w="60"/>
              <w:right w:type="dxa" w:w="160"/>
            </w:tcMar>
          </w:tcPr>
          <w:p>
            <w:r>
              <w:rPr>
                <w:rFonts w:ascii="Arial" w:cs="Arial" w:eastAsia="Arial" w:hAnsi="Arial"/>
                <w:b/>
                <w:bCs/>
                <w:color w:val="166534"/>
                <w:sz w:val="18"/>
                <w:szCs w:val="18"/>
              </w:rPr>
              <w:t xml:space="preserve">[2]  </w:t>
            </w:r>
            <w:r>
              <w:rPr>
                <w:rFonts w:ascii="Arial" w:cs="Arial" w:eastAsia="Arial" w:hAnsi="Arial"/>
                <w:b/>
                <w:bCs/>
                <w:color w:val="166534"/>
                <w:spacing w:val="60"/>
                <w:sz w:val="14"/>
                <w:szCs w:val="14"/>
              </w:rPr>
              <w:t xml:space="preserve">JOURNAL ARTICLE</w:t>
            </w:r>
            <w:r>
              <w:t xml:space="preserve">   </w:t>
            </w:r>
            <w:r>
              <w:rPr>
                <w:rFonts w:ascii="Arial" w:cs="Arial" w:eastAsia="Arial" w:hAnsi="Arial"/>
                <w:b/>
                <w:bCs/>
                <w:color w:val="166534"/>
                <w:spacing w:val="40"/>
                <w:sz w:val="14"/>
                <w:szCs w:val="14"/>
              </w:rPr>
              <w:t xml:space="preserve">  OPEN ACCESS  </w:t>
            </w:r>
          </w:p>
        </w:tc>
      </w:tr>
      <w:tr>
        <w:tc>
          <w:tcPr>
            <w:tcW w:type="dxa" w:w="9360"/>
            <w:tcBorders>
              <w:top w:val="none" w:color="ffffff" w:sz="0"/>
              <w:left w:val="none" w:color="ffffff" w:sz="0"/>
              <w:bottom w:val="none" w:color="ffffff" w:sz="0"/>
              <w:right w:val="none" w:color="ffffff" w:sz="0"/>
            </w:tcBorders>
            <w:shd w:fill="dcfce7" w:val="clear"/>
            <w:tcMar>
              <w:top w:type="dxa" w:w="0"/>
              <w:left w:type="dxa" w:w="160"/>
              <w:bottom w:type="dxa" w:w="80"/>
              <w:right w:type="dxa" w:w="160"/>
            </w:tcMar>
          </w:tcPr>
          <w:p>
            <w:r>
              <w:rPr>
                <w:rFonts w:ascii="Arial" w:cs="Arial" w:eastAsia="Arial" w:hAnsi="Arial"/>
                <w:b/>
                <w:bCs/>
                <w:color w:val="1a3a5c"/>
                <w:sz w:val="20"/>
                <w:szCs w:val="20"/>
              </w:rPr>
              <w:t xml:space="preserve">Oreskes, Naomi. 2004. 'The Scientific Consensus on Climate Change.' Science 306 (5702): 1686.</w:t>
            </w:r>
          </w:p>
          <w:p>
            <w:pPr>
              <w:spacing w:before="30"/>
            </w:pPr>
            <w:hyperlink w:history="1" r:id="rIdksefysutm-yh1exfaq-cw">
              <w:r>
                <w:rPr>
                  <w:rStyle w:val="Hyperlink"/>
                  <w:rFonts w:ascii="Arial" w:cs="Arial" w:eastAsia="Arial" w:hAnsi="Arial"/>
                  <w:color w:val="2563a8"/>
                  <w:sz w:val="18"/>
                  <w:szCs w:val="18"/>
                </w:rPr>
                <w:t xml:space="preserve">https://www.science.org/doi/10.1126/science.1103618</w:t>
              </w:r>
            </w:hyperlink>
          </w:p>
        </w:tc>
      </w:tr>
      <w:tr>
        <w:tc>
          <w:tcPr>
            <w:tcW w:type="dxa" w:w="9360"/>
            <w:tcBorders>
              <w:top w:val="none" w:color="ffffff" w:sz="0"/>
              <w:left w:val="single" w:color="166534"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166534"/>
                <w:spacing w:val="60"/>
                <w:sz w:val="14"/>
                <w:szCs w:val="14"/>
              </w:rPr>
              <w:t xml:space="preserve">WHY THIS READING</w:t>
            </w:r>
          </w:p>
          <w:p>
            <w:r>
              <w:rPr>
                <w:rFonts w:ascii="Arial" w:cs="Arial" w:eastAsia="Arial" w:hAnsi="Arial"/>
                <w:color w:val="1a1a1a"/>
                <w:sz w:val="20"/>
                <w:szCs w:val="20"/>
              </w:rPr>
              <w:t xml:space="preserve">At just one page, this is the most concise demonstration in the course literature of the gap between scientific consensus and public perception of controversy. Oreskes reviewed 928 peer-reviewed abstracts and found zero that explicitly rejected the consensus on anthropogenic warming. The paper is assigned not primarily for its climate content but as a methodological demonstration: this is how you empirically measure consensus.</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methodology: how did Oreskes operationalise 'consensus'? Is it a reasonable measure?</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result: zero papers. What does this tell you about the nature of manufactured controversy?</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distinction between scientific consensus and policy debate — Oreskes makes this carefully</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1 discussion on manufactured controversy; Unit 2 case study on climate denial</w:t>
            </w:r>
          </w:p>
        </w:tc>
      </w:tr>
    </w:tbl>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cfce7" w:val="clear"/>
            <w:tcMar>
              <w:top w:type="dxa" w:w="80"/>
              <w:left w:type="dxa" w:w="160"/>
              <w:bottom w:type="dxa" w:w="60"/>
              <w:right w:type="dxa" w:w="160"/>
            </w:tcMar>
          </w:tcPr>
          <w:p>
            <w:r>
              <w:rPr>
                <w:rFonts w:ascii="Arial" w:cs="Arial" w:eastAsia="Arial" w:hAnsi="Arial"/>
                <w:b/>
                <w:bCs/>
                <w:color w:val="166534"/>
                <w:sz w:val="18"/>
                <w:szCs w:val="18"/>
              </w:rPr>
              <w:t xml:space="preserve">[3]  </w:t>
            </w:r>
            <w:r>
              <w:rPr>
                <w:rFonts w:ascii="Arial" w:cs="Arial" w:eastAsia="Arial" w:hAnsi="Arial"/>
                <w:b/>
                <w:bCs/>
                <w:color w:val="166534"/>
                <w:spacing w:val="60"/>
                <w:sz w:val="14"/>
                <w:szCs w:val="14"/>
              </w:rPr>
              <w:t xml:space="preserve">JOURNAL ARTICLE</w:t>
            </w:r>
            <w:r>
              <w:t xml:space="preserve">   </w:t>
            </w:r>
            <w:r>
              <w:rPr>
                <w:rFonts w:ascii="Arial" w:cs="Arial" w:eastAsia="Arial" w:hAnsi="Arial"/>
                <w:b/>
                <w:bCs/>
                <w:color w:val="166534"/>
                <w:spacing w:val="40"/>
                <w:sz w:val="14"/>
                <w:szCs w:val="14"/>
              </w:rPr>
              <w:t xml:space="preserve">  OPEN ACCESS  </w:t>
            </w:r>
          </w:p>
        </w:tc>
      </w:tr>
      <w:tr>
        <w:tc>
          <w:tcPr>
            <w:tcW w:type="dxa" w:w="9360"/>
            <w:tcBorders>
              <w:top w:val="none" w:color="ffffff" w:sz="0"/>
              <w:left w:val="none" w:color="ffffff" w:sz="0"/>
              <w:bottom w:val="none" w:color="ffffff" w:sz="0"/>
              <w:right w:val="none" w:color="ffffff" w:sz="0"/>
            </w:tcBorders>
            <w:shd w:fill="dcfce7" w:val="clear"/>
            <w:tcMar>
              <w:top w:type="dxa" w:w="0"/>
              <w:left w:type="dxa" w:w="160"/>
              <w:bottom w:type="dxa" w:w="80"/>
              <w:right w:type="dxa" w:w="160"/>
            </w:tcMar>
          </w:tcPr>
          <w:p>
            <w:r>
              <w:rPr>
                <w:rFonts w:ascii="Arial" w:cs="Arial" w:eastAsia="Arial" w:hAnsi="Arial"/>
                <w:b/>
                <w:bCs/>
                <w:color w:val="1a3a5c"/>
                <w:sz w:val="20"/>
                <w:szCs w:val="20"/>
              </w:rPr>
              <w:t xml:space="preserve">Diethelm, Pascal, and Martin McKee. 2009. 'Denialism: What Is It and How Should Scientists Respond?' European Journal of Public Health 19 (1): 2–4.</w:t>
            </w:r>
          </w:p>
          <w:p>
            <w:pPr>
              <w:spacing w:before="30"/>
            </w:pPr>
            <w:hyperlink w:history="1" r:id="rIdljf53_6qfcdc9ghgsvomg">
              <w:r>
                <w:rPr>
                  <w:rStyle w:val="Hyperlink"/>
                  <w:rFonts w:ascii="Arial" w:cs="Arial" w:eastAsia="Arial" w:hAnsi="Arial"/>
                  <w:color w:val="2563a8"/>
                  <w:sz w:val="18"/>
                  <w:szCs w:val="18"/>
                </w:rPr>
                <w:t xml:space="preserve">https://academic.oup.com/eurpub/article/19/1/2/463780</w:t>
              </w:r>
            </w:hyperlink>
          </w:p>
        </w:tc>
      </w:tr>
      <w:tr>
        <w:tc>
          <w:tcPr>
            <w:tcW w:type="dxa" w:w="9360"/>
            <w:tcBorders>
              <w:top w:val="none" w:color="ffffff" w:sz="0"/>
              <w:left w:val="single" w:color="166534"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166534"/>
                <w:spacing w:val="60"/>
                <w:sz w:val="14"/>
                <w:szCs w:val="14"/>
              </w:rPr>
              <w:t xml:space="preserve">WHY THIS READING</w:t>
            </w:r>
          </w:p>
          <w:p>
            <w:r>
              <w:rPr>
                <w:rFonts w:ascii="Arial" w:cs="Arial" w:eastAsia="Arial" w:hAnsi="Arial"/>
                <w:color w:val="1a1a1a"/>
                <w:sz w:val="20"/>
                <w:szCs w:val="20"/>
              </w:rPr>
              <w:t xml:space="preserve">This short paper introduces the five hallmarks of science denial (the basis of the FLICC framework) in a peer-reviewed context. It is the original academic source for the framework used throughout the course, and its examples span tobacco, HIV, and evolution, demonstrating the cross-topic consistency of denial strategies.</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five hallmarks: conspiracy theories, fake experts, cherry-picking, impossible expectations, misrepresentation</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examples used: how well does each example fit the hallmark it illustrates?</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authors' recommendations for how scientists should respond: do you find these persuasive?</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1 FLICC exercise; all denial case studies throughout the course</w:t>
            </w:r>
          </w:p>
        </w:tc>
      </w:tr>
    </w:tbl>
    <w:p>
      <w:pPr>
        <w:spacing w:after="0" w:before="80"/>
      </w:pPr>
      <w:r>
        <w:t xml:space="preserve"/>
      </w:r>
    </w:p>
    <w:p>
      <w:pPr>
        <w:pBdr>
          <w:bottom w:val="single" w:color="0f2642" w:sz="6" w:space="4"/>
        </w:pBdr>
        <w:spacing w:after="80" w:before="240"/>
      </w:pPr>
      <w:r>
        <w:rPr>
          <w:rFonts w:ascii="Arial" w:cs="Arial" w:eastAsia="Arial" w:hAnsi="Arial"/>
          <w:b/>
          <w:bCs/>
          <w:color w:val="0f2642"/>
          <w:sz w:val="22"/>
          <w:szCs w:val="22"/>
        </w:rPr>
        <w:t xml:space="preserve">◆  Supplementary Readings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2f2f2" w:val="clear"/>
            <w:tcMar>
              <w:top w:type="dxa" w:w="80"/>
              <w:left w:type="dxa" w:w="160"/>
              <w:bottom w:type="dxa" w:w="60"/>
              <w:right w:type="dxa" w:w="160"/>
            </w:tcMar>
          </w:tcPr>
          <w:p>
            <w:r>
              <w:rPr>
                <w:rFonts w:ascii="Arial" w:cs="Arial" w:eastAsia="Arial" w:hAnsi="Arial"/>
                <w:b/>
                <w:bCs/>
                <w:color w:val="555555"/>
                <w:sz w:val="18"/>
                <w:szCs w:val="18"/>
              </w:rPr>
              <w:t xml:space="preserve">[4]  </w:t>
            </w:r>
            <w:r>
              <w:rPr>
                <w:rFonts w:ascii="Arial" w:cs="Arial" w:eastAsia="Arial" w:hAnsi="Arial"/>
                <w:b/>
                <w:bCs/>
                <w:color w:val="555555"/>
                <w:spacing w:val="60"/>
                <w:sz w:val="14"/>
                <w:szCs w:val="14"/>
              </w:rPr>
              <w:t xml:space="preserve">SUPPLEMENTARY</w:t>
            </w:r>
            <w:r>
              <w:t xml:space="preserve">   </w:t>
            </w:r>
            <w:r>
              <w:rPr>
                <w:rFonts w:ascii="Arial" w:cs="Arial" w:eastAsia="Arial" w:hAnsi="Arial"/>
                <w:b/>
                <w:bCs/>
                <w:color w:val="92400e"/>
                <w:spacing w:val="40"/>
                <w:sz w:val="14"/>
                <w:szCs w:val="14"/>
              </w:rPr>
              <w:t xml:space="preserve">  CHECK LIBRARY  </w:t>
            </w:r>
          </w:p>
        </w:tc>
      </w:tr>
      <w:tr>
        <w:tc>
          <w:tcPr>
            <w:tcW w:type="dxa" w:w="9360"/>
            <w:tcBorders>
              <w:top w:val="none" w:color="ffffff" w:sz="0"/>
              <w:left w:val="none" w:color="ffffff" w:sz="0"/>
              <w:bottom w:val="none" w:color="ffffff" w:sz="0"/>
              <w:right w:val="none" w:color="ffffff" w:sz="0"/>
            </w:tcBorders>
            <w:shd w:fill="f2f2f2" w:val="clear"/>
            <w:tcMar>
              <w:top w:type="dxa" w:w="0"/>
              <w:left w:type="dxa" w:w="160"/>
              <w:bottom w:type="dxa" w:w="80"/>
              <w:right w:type="dxa" w:w="160"/>
            </w:tcMar>
          </w:tcPr>
          <w:p>
            <w:r>
              <w:rPr>
                <w:rFonts w:ascii="Arial" w:cs="Arial" w:eastAsia="Arial" w:hAnsi="Arial"/>
                <w:b/>
                <w:bCs/>
                <w:color w:val="1a3a5c"/>
                <w:sz w:val="20"/>
                <w:szCs w:val="20"/>
              </w:rPr>
              <w:t xml:space="preserve">Popper, Karl. 1963. Conjectures and Refutations: The Growth of Scientific Knowledge. London: Routledge. Chapter 1 ('Science: Conjectures and Refutations').</w:t>
            </w:r>
          </w:p>
          <w:p>
            <w:r>
              <w:t xml:space="preserve"/>
            </w:r>
          </w:p>
        </w:tc>
      </w:tr>
      <w:tr>
        <w:tc>
          <w:tcPr>
            <w:tcW w:type="dxa" w:w="9360"/>
            <w:tcBorders>
              <w:top w:val="none" w:color="ffffff" w:sz="0"/>
              <w:left w:val="single" w:color="555555"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555555"/>
                <w:spacing w:val="60"/>
                <w:sz w:val="14"/>
                <w:szCs w:val="14"/>
              </w:rPr>
              <w:t xml:space="preserve">WHY THIS READING</w:t>
            </w:r>
          </w:p>
          <w:p>
            <w:r>
              <w:rPr>
                <w:rFonts w:ascii="Arial" w:cs="Arial" w:eastAsia="Arial" w:hAnsi="Arial"/>
                <w:color w:val="1a1a1a"/>
                <w:sz w:val="20"/>
                <w:szCs w:val="20"/>
              </w:rPr>
              <w:t xml:space="preserve">For students who want the philosophical grounding for falsificationism. Popper's argument that scientific claims must be falsifiable is the foundational criterion for the demarcation problem discussed in Unit 1. Not required but strongly recommended for students with a philosophy of science interest.</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Popper's original formulation of falsifiability: what exactly must be falsifiable?</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His critique of Freudian psychology and Marxism as unfalsifiable: do you agree?</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How does falsificationism relate to Diethelm and McKee's 'impossible expectations' hallmark?</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1 epistemology discussion; Unit 5 inoculation theory</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3a5c" w:val="clear"/>
            <w:tcMar>
              <w:top w:type="dxa" w:w="180"/>
              <w:left w:type="dxa" w:w="360"/>
              <w:bottom w:type="dxa" w:w="180"/>
              <w:right w:type="dxa" w:w="360"/>
            </w:tcMar>
          </w:tcPr>
          <w:p>
            <w:pPr>
              <w:spacing w:after="50"/>
            </w:pPr>
            <w:r>
              <w:rPr>
                <w:rFonts w:ascii="Arial" w:cs="Arial" w:eastAsia="Arial" w:hAnsi="Arial"/>
                <w:b/>
                <w:bCs/>
                <w:color w:val="aaccee"/>
                <w:sz w:val="16"/>
                <w:szCs w:val="16"/>
              </w:rPr>
              <w:t xml:space="preserve">UNIT 2  ·  Weeks 3–4</w:t>
            </w:r>
          </w:p>
          <w:p>
            <w:r>
              <w:rPr>
                <w:rFonts w:ascii="Arial" w:cs="Arial" w:eastAsia="Arial" w:hAnsi="Arial"/>
                <w:b/>
                <w:bCs/>
                <w:color w:val="ffffff"/>
                <w:sz w:val="26"/>
                <w:szCs w:val="26"/>
              </w:rPr>
              <w:t xml:space="preserve">Historical Roots of Science Denial</w:t>
            </w:r>
          </w:p>
        </w:tc>
      </w:tr>
    </w:tbl>
    <w:p>
      <w:pPr>
        <w:spacing w:after="0" w:before="100"/>
      </w:pPr>
      <w:r>
        <w:t xml:space="preserve"/>
      </w:r>
    </w:p>
    <w:p>
      <w:pPr>
        <w:pBdr>
          <w:bottom w:val="single" w:color="0f2642" w:sz="6" w:space="4"/>
        </w:pBdr>
        <w:spacing w:after="80" w:before="240"/>
      </w:pPr>
      <w:r>
        <w:rPr>
          <w:rFonts w:ascii="Arial" w:cs="Arial" w:eastAsia="Arial" w:hAnsi="Arial"/>
          <w:b/>
          <w:bCs/>
          <w:color w:val="0f2642"/>
          <w:sz w:val="22"/>
          <w:szCs w:val="22"/>
        </w:rPr>
        <w:t xml:space="preserve">◆  Required Readings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beafe" w:val="clear"/>
            <w:tcMar>
              <w:top w:type="dxa" w:w="80"/>
              <w:left w:type="dxa" w:w="160"/>
              <w:bottom w:type="dxa" w:w="60"/>
              <w:right w:type="dxa" w:w="160"/>
            </w:tcMar>
          </w:tcPr>
          <w:p>
            <w:r>
              <w:rPr>
                <w:rFonts w:ascii="Arial" w:cs="Arial" w:eastAsia="Arial" w:hAnsi="Arial"/>
                <w:b/>
                <w:bCs/>
                <w:color w:val="2563a8"/>
                <w:sz w:val="18"/>
                <w:szCs w:val="18"/>
              </w:rPr>
              <w:t xml:space="preserve">[5]  </w:t>
            </w:r>
            <w:r>
              <w:rPr>
                <w:rFonts w:ascii="Arial" w:cs="Arial" w:eastAsia="Arial" w:hAnsi="Arial"/>
                <w:b/>
                <w:bCs/>
                <w:color w:val="2563a8"/>
                <w:spacing w:val="60"/>
                <w:sz w:val="14"/>
                <w:szCs w:val="14"/>
              </w:rPr>
              <w:t xml:space="preserve">BOOK</w:t>
            </w:r>
            <w:r>
              <w:t xml:space="preserve">   </w:t>
            </w:r>
            <w:r>
              <w:rPr>
                <w:rFonts w:ascii="Arial" w:cs="Arial" w:eastAsia="Arial" w:hAnsi="Arial"/>
                <w:b/>
                <w:bCs/>
                <w:color w:val="92400e"/>
                <w:spacing w:val="40"/>
                <w:sz w:val="14"/>
                <w:szCs w:val="14"/>
              </w:rPr>
              <w:t xml:space="preserve">  CHECK LIBRARY  </w:t>
            </w:r>
          </w:p>
        </w:tc>
      </w:tr>
      <w:tr>
        <w:tc>
          <w:tcPr>
            <w:tcW w:type="dxa" w:w="9360"/>
            <w:tcBorders>
              <w:top w:val="none" w:color="ffffff" w:sz="0"/>
              <w:left w:val="none" w:color="ffffff" w:sz="0"/>
              <w:bottom w:val="none" w:color="ffffff" w:sz="0"/>
              <w:right w:val="none" w:color="ffffff" w:sz="0"/>
            </w:tcBorders>
            <w:shd w:fill="dbeafe" w:val="clear"/>
            <w:tcMar>
              <w:top w:type="dxa" w:w="0"/>
              <w:left w:type="dxa" w:w="160"/>
              <w:bottom w:type="dxa" w:w="80"/>
              <w:right w:type="dxa" w:w="160"/>
            </w:tcMar>
          </w:tcPr>
          <w:p>
            <w:r>
              <w:rPr>
                <w:rFonts w:ascii="Arial" w:cs="Arial" w:eastAsia="Arial" w:hAnsi="Arial"/>
                <w:b/>
                <w:bCs/>
                <w:color w:val="1a3a5c"/>
                <w:sz w:val="20"/>
                <w:szCs w:val="20"/>
              </w:rPr>
              <w:t xml:space="preserve">Oreskes, Naomi, and Erik M. Conway. 2010. Merchants of Doubt: How a Handful of Scientists Obscured the Truth on Issues from Tobacco Smoke to Global Warming. New York: Bloomsbury Press. Introduction and Chapters 1–5.</w:t>
            </w:r>
          </w:p>
          <w:p>
            <w:r>
              <w:t xml:space="preserve"/>
            </w:r>
          </w:p>
        </w:tc>
      </w:tr>
      <w:tr>
        <w:tc>
          <w:tcPr>
            <w:tcW w:type="dxa" w:w="9360"/>
            <w:tcBorders>
              <w:top w:val="none" w:color="ffffff" w:sz="0"/>
              <w:left w:val="single" w:color="2563a8"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2563a8"/>
                <w:spacing w:val="60"/>
                <w:sz w:val="14"/>
                <w:szCs w:val="14"/>
              </w:rPr>
              <w:t xml:space="preserve">WHY THIS READING</w:t>
            </w:r>
          </w:p>
          <w:p>
            <w:r>
              <w:rPr>
                <w:rFonts w:ascii="Arial" w:cs="Arial" w:eastAsia="Arial" w:hAnsi="Arial"/>
                <w:color w:val="1a1a1a"/>
                <w:sz w:val="20"/>
                <w:szCs w:val="20"/>
              </w:rPr>
              <w:t xml:space="preserve">The definitive account of organised science denial as an institutional and strategic phenomenon. Oreskes and Conway document how the same small network of scientists — connected to Cold War-era physics and later to conservative think tanks — deployed identical doubt-manufacturing tactics across tobacco, acid rain, the ozone hole, secondhand smoke, and climate change. This is the course's primary historical text and provides the analytical framework for all subsequent historical discussion.</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names: Frederick Seitz, S. Fred Singer, William Nierenberg. Track where they appear and what they are doing in each case</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funders: who pays for doubt? How does funding flow from industry to scientists to media?</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tactics: how does the tobacco strategy map onto the Diethelm/McKee FLICC hallmarks from Unit 1?</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ozone chapter: how was the Montreal Protocol eventually achieved despite organised denial? What made the difference?</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2 denial network mapping activity; Unit 2 case study essay; all policy discussions in Unit 6</w:t>
            </w:r>
          </w:p>
        </w:tc>
      </w:tr>
    </w:tbl>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beafe" w:val="clear"/>
            <w:tcMar>
              <w:top w:type="dxa" w:w="80"/>
              <w:left w:type="dxa" w:w="160"/>
              <w:bottom w:type="dxa" w:w="60"/>
              <w:right w:type="dxa" w:w="160"/>
            </w:tcMar>
          </w:tcPr>
          <w:p>
            <w:r>
              <w:rPr>
                <w:rFonts w:ascii="Arial" w:cs="Arial" w:eastAsia="Arial" w:hAnsi="Arial"/>
                <w:b/>
                <w:bCs/>
                <w:color w:val="2563a8"/>
                <w:sz w:val="18"/>
                <w:szCs w:val="18"/>
              </w:rPr>
              <w:t xml:space="preserve">[6]  </w:t>
            </w:r>
            <w:r>
              <w:rPr>
                <w:rFonts w:ascii="Arial" w:cs="Arial" w:eastAsia="Arial" w:hAnsi="Arial"/>
                <w:b/>
                <w:bCs/>
                <w:color w:val="2563a8"/>
                <w:spacing w:val="60"/>
                <w:sz w:val="14"/>
                <w:szCs w:val="14"/>
              </w:rPr>
              <w:t xml:space="preserve">BOOK</w:t>
            </w:r>
            <w:r>
              <w:t xml:space="preserve">   </w:t>
            </w:r>
            <w:r>
              <w:rPr>
                <w:rFonts w:ascii="Arial" w:cs="Arial" w:eastAsia="Arial" w:hAnsi="Arial"/>
                <w:b/>
                <w:bCs/>
                <w:color w:val="92400e"/>
                <w:spacing w:val="40"/>
                <w:sz w:val="14"/>
                <w:szCs w:val="14"/>
              </w:rPr>
              <w:t xml:space="preserve">  CHECK LIBRARY  </w:t>
            </w:r>
          </w:p>
        </w:tc>
      </w:tr>
      <w:tr>
        <w:tc>
          <w:tcPr>
            <w:tcW w:type="dxa" w:w="9360"/>
            <w:tcBorders>
              <w:top w:val="none" w:color="ffffff" w:sz="0"/>
              <w:left w:val="none" w:color="ffffff" w:sz="0"/>
              <w:bottom w:val="none" w:color="ffffff" w:sz="0"/>
              <w:right w:val="none" w:color="ffffff" w:sz="0"/>
            </w:tcBorders>
            <w:shd w:fill="dbeafe" w:val="clear"/>
            <w:tcMar>
              <w:top w:type="dxa" w:w="0"/>
              <w:left w:type="dxa" w:w="160"/>
              <w:bottom w:type="dxa" w:w="80"/>
              <w:right w:type="dxa" w:w="160"/>
            </w:tcMar>
          </w:tcPr>
          <w:p>
            <w:r>
              <w:rPr>
                <w:rFonts w:ascii="Arial" w:cs="Arial" w:eastAsia="Arial" w:hAnsi="Arial"/>
                <w:b/>
                <w:bCs/>
                <w:color w:val="1a3a5c"/>
                <w:sz w:val="20"/>
                <w:szCs w:val="20"/>
              </w:rPr>
              <w:t xml:space="preserve">Proctor, Robert N. 2011. Golden Holocaust: Origins of the Cigarette Catastrophe and the Case for Abolition. Berkeley: University of California Press. Chapters 1–2.</w:t>
            </w:r>
          </w:p>
          <w:p>
            <w:r>
              <w:t xml:space="preserve"/>
            </w:r>
          </w:p>
        </w:tc>
      </w:tr>
      <w:tr>
        <w:tc>
          <w:tcPr>
            <w:tcW w:type="dxa" w:w="9360"/>
            <w:tcBorders>
              <w:top w:val="none" w:color="ffffff" w:sz="0"/>
              <w:left w:val="single" w:color="2563a8"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2563a8"/>
                <w:spacing w:val="60"/>
                <w:sz w:val="14"/>
                <w:szCs w:val="14"/>
              </w:rPr>
              <w:t xml:space="preserve">WHY THIS READING</w:t>
            </w:r>
          </w:p>
          <w:p>
            <w:r>
              <w:rPr>
                <w:rFonts w:ascii="Arial" w:cs="Arial" w:eastAsia="Arial" w:hAnsi="Arial"/>
                <w:color w:val="1a1a1a"/>
                <w:sz w:val="20"/>
                <w:szCs w:val="20"/>
              </w:rPr>
              <w:t xml:space="preserve">Proctor draws on millions of pages of internal tobacco industry documents released through litigation to reconstruct the industry's science suppression apparatus from the inside. Where Merchants of Doubt examines the network from outside, Golden Holocaust shows what the industry's own documents reveal. The result is a forensic account of deliberate, organised deception that is essential context for understanding how corporate science denial operates.</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internal documents: what did tobacco executives know, and when did they know it?</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science suppression strategy: how did the industry fund research designed to create uncertainty rather than answer questions?</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Proctor's concept of 'agnotology': the deliberate production of ignorance as a strategic product</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Compare with Oreskes and Conway: what does Proctor add that Merchants of Doubt does not cover?</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2 discussion on the tobacco strategy; Unit 2 case study essay; agnotology definition in glossary</w:t>
            </w:r>
          </w:p>
        </w:tc>
      </w:tr>
    </w:tbl>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beafe" w:val="clear"/>
            <w:tcMar>
              <w:top w:type="dxa" w:w="80"/>
              <w:left w:type="dxa" w:w="160"/>
              <w:bottom w:type="dxa" w:w="60"/>
              <w:right w:type="dxa" w:w="160"/>
            </w:tcMar>
          </w:tcPr>
          <w:p>
            <w:r>
              <w:rPr>
                <w:rFonts w:ascii="Arial" w:cs="Arial" w:eastAsia="Arial" w:hAnsi="Arial"/>
                <w:b/>
                <w:bCs/>
                <w:color w:val="2563a8"/>
                <w:sz w:val="18"/>
                <w:szCs w:val="18"/>
              </w:rPr>
              <w:t xml:space="preserve">[7]  </w:t>
            </w:r>
            <w:r>
              <w:rPr>
                <w:rFonts w:ascii="Arial" w:cs="Arial" w:eastAsia="Arial" w:hAnsi="Arial"/>
                <w:b/>
                <w:bCs/>
                <w:color w:val="2563a8"/>
                <w:spacing w:val="60"/>
                <w:sz w:val="14"/>
                <w:szCs w:val="14"/>
              </w:rPr>
              <w:t xml:space="preserve">BOOK</w:t>
            </w:r>
            <w:r>
              <w:t xml:space="preserve">   </w:t>
            </w:r>
            <w:r>
              <w:rPr>
                <w:rFonts w:ascii="Arial" w:cs="Arial" w:eastAsia="Arial" w:hAnsi="Arial"/>
                <w:b/>
                <w:bCs/>
                <w:color w:val="92400e"/>
                <w:spacing w:val="40"/>
                <w:sz w:val="14"/>
                <w:szCs w:val="14"/>
              </w:rPr>
              <w:t xml:space="preserve">  CHECK LIBRARY  </w:t>
            </w:r>
          </w:p>
        </w:tc>
      </w:tr>
      <w:tr>
        <w:tc>
          <w:tcPr>
            <w:tcW w:type="dxa" w:w="9360"/>
            <w:tcBorders>
              <w:top w:val="none" w:color="ffffff" w:sz="0"/>
              <w:left w:val="none" w:color="ffffff" w:sz="0"/>
              <w:bottom w:val="none" w:color="ffffff" w:sz="0"/>
              <w:right w:val="none" w:color="ffffff" w:sz="0"/>
            </w:tcBorders>
            <w:shd w:fill="dbeafe" w:val="clear"/>
            <w:tcMar>
              <w:top w:type="dxa" w:w="0"/>
              <w:left w:type="dxa" w:w="160"/>
              <w:bottom w:type="dxa" w:w="80"/>
              <w:right w:type="dxa" w:w="160"/>
            </w:tcMar>
          </w:tcPr>
          <w:p>
            <w:r>
              <w:rPr>
                <w:rFonts w:ascii="Arial" w:cs="Arial" w:eastAsia="Arial" w:hAnsi="Arial"/>
                <w:b/>
                <w:bCs/>
                <w:color w:val="1a3a5c"/>
                <w:sz w:val="20"/>
                <w:szCs w:val="20"/>
              </w:rPr>
              <w:t xml:space="preserve">Oreskes, Naomi. 2019. Why Trust Science? Princeton: Princeton University Press. Chapter 1 and Conclusion.</w:t>
            </w:r>
          </w:p>
          <w:p>
            <w:r>
              <w:t xml:space="preserve"/>
            </w:r>
          </w:p>
        </w:tc>
      </w:tr>
      <w:tr>
        <w:tc>
          <w:tcPr>
            <w:tcW w:type="dxa" w:w="9360"/>
            <w:tcBorders>
              <w:top w:val="none" w:color="ffffff" w:sz="0"/>
              <w:left w:val="single" w:color="2563a8"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2563a8"/>
                <w:spacing w:val="60"/>
                <w:sz w:val="14"/>
                <w:szCs w:val="14"/>
              </w:rPr>
              <w:t xml:space="preserve">WHY THIS READING</w:t>
            </w:r>
          </w:p>
          <w:p>
            <w:r>
              <w:rPr>
                <w:rFonts w:ascii="Arial" w:cs="Arial" w:eastAsia="Arial" w:hAnsi="Arial"/>
                <w:color w:val="1a1a1a"/>
                <w:sz w:val="20"/>
                <w:szCs w:val="20"/>
              </w:rPr>
              <w:t xml:space="preserve">Assigned in abbreviated form here (full assignment in Unit 6) to give students the philosophical counterpart to the historical case studies: if science denial exploits manufactured doubt, what makes science genuinely trustworthy? Oreskes argues it is not individual scientist infallibility but the social structure of science — consensus, peer review, and diversity of perspectives — that grounds scientific authority.</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Oreskes' answer to 'why trust science?' — it is not because scientists are always right</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role of scientific consensus as a social rather than individual epistemic achievement</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How does this answer relate to the FLICC tactic of 'fake experts'? If one scientist dissents, does that undermine consensus?</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2 discussion on institutional trust; Unit 6 policy brief on rebuilding trust</w:t>
            </w:r>
          </w:p>
        </w:tc>
      </w:tr>
    </w:tbl>
    <w:p>
      <w:pPr>
        <w:spacing w:after="0" w:before="80"/>
      </w:pPr>
      <w:r>
        <w:t xml:space="preserve"/>
      </w:r>
    </w:p>
    <w:p>
      <w:pPr>
        <w:pBdr>
          <w:bottom w:val="single" w:color="0f2642" w:sz="6" w:space="4"/>
        </w:pBdr>
        <w:spacing w:after="80" w:before="240"/>
      </w:pPr>
      <w:r>
        <w:rPr>
          <w:rFonts w:ascii="Arial" w:cs="Arial" w:eastAsia="Arial" w:hAnsi="Arial"/>
          <w:b/>
          <w:bCs/>
          <w:color w:val="0f2642"/>
          <w:sz w:val="22"/>
          <w:szCs w:val="22"/>
        </w:rPr>
        <w:t xml:space="preserve">◆  Supplementary Readings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2f2f2" w:val="clear"/>
            <w:tcMar>
              <w:top w:type="dxa" w:w="80"/>
              <w:left w:type="dxa" w:w="160"/>
              <w:bottom w:type="dxa" w:w="60"/>
              <w:right w:type="dxa" w:w="160"/>
            </w:tcMar>
          </w:tcPr>
          <w:p>
            <w:r>
              <w:rPr>
                <w:rFonts w:ascii="Arial" w:cs="Arial" w:eastAsia="Arial" w:hAnsi="Arial"/>
                <w:b/>
                <w:bCs/>
                <w:color w:val="555555"/>
                <w:sz w:val="18"/>
                <w:szCs w:val="18"/>
              </w:rPr>
              <w:t xml:space="preserve">[8]  </w:t>
            </w:r>
            <w:r>
              <w:rPr>
                <w:rFonts w:ascii="Arial" w:cs="Arial" w:eastAsia="Arial" w:hAnsi="Arial"/>
                <w:b/>
                <w:bCs/>
                <w:color w:val="555555"/>
                <w:spacing w:val="60"/>
                <w:sz w:val="14"/>
                <w:szCs w:val="14"/>
              </w:rPr>
              <w:t xml:space="preserve">SUPPLEMENTARY</w:t>
            </w:r>
            <w:r>
              <w:t xml:space="preserve">   </w:t>
            </w:r>
            <w:r>
              <w:rPr>
                <w:rFonts w:ascii="Arial" w:cs="Arial" w:eastAsia="Arial" w:hAnsi="Arial"/>
                <w:b/>
                <w:bCs/>
                <w:color w:val="92400e"/>
                <w:spacing w:val="40"/>
                <w:sz w:val="14"/>
                <w:szCs w:val="14"/>
              </w:rPr>
              <w:t xml:space="preserve">  CHECK LIBRARY  </w:t>
            </w:r>
          </w:p>
        </w:tc>
      </w:tr>
      <w:tr>
        <w:tc>
          <w:tcPr>
            <w:tcW w:type="dxa" w:w="9360"/>
            <w:tcBorders>
              <w:top w:val="none" w:color="ffffff" w:sz="0"/>
              <w:left w:val="none" w:color="ffffff" w:sz="0"/>
              <w:bottom w:val="none" w:color="ffffff" w:sz="0"/>
              <w:right w:val="none" w:color="ffffff" w:sz="0"/>
            </w:tcBorders>
            <w:shd w:fill="f2f2f2" w:val="clear"/>
            <w:tcMar>
              <w:top w:type="dxa" w:w="0"/>
              <w:left w:type="dxa" w:w="160"/>
              <w:bottom w:type="dxa" w:w="80"/>
              <w:right w:type="dxa" w:w="160"/>
            </w:tcMar>
          </w:tcPr>
          <w:p>
            <w:r>
              <w:rPr>
                <w:rFonts w:ascii="Arial" w:cs="Arial" w:eastAsia="Arial" w:hAnsi="Arial"/>
                <w:b/>
                <w:bCs/>
                <w:color w:val="1a3a5c"/>
                <w:sz w:val="20"/>
                <w:szCs w:val="20"/>
              </w:rPr>
              <w:t xml:space="preserve">Michaels, David. 2008. Doubt Is Their Product: How Industry's Assault on Science Threatens Your Health. Oxford: Oxford University Press. Introduction.</w:t>
            </w:r>
          </w:p>
          <w:p>
            <w:r>
              <w:t xml:space="preserve"/>
            </w:r>
          </w:p>
        </w:tc>
      </w:tr>
      <w:tr>
        <w:tc>
          <w:tcPr>
            <w:tcW w:type="dxa" w:w="9360"/>
            <w:tcBorders>
              <w:top w:val="none" w:color="ffffff" w:sz="0"/>
              <w:left w:val="single" w:color="555555"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555555"/>
                <w:spacing w:val="60"/>
                <w:sz w:val="14"/>
                <w:szCs w:val="14"/>
              </w:rPr>
              <w:t xml:space="preserve">WHY THIS READING</w:t>
            </w:r>
          </w:p>
          <w:p>
            <w:r>
              <w:rPr>
                <w:rFonts w:ascii="Arial" w:cs="Arial" w:eastAsia="Arial" w:hAnsi="Arial"/>
                <w:color w:val="1a1a1a"/>
                <w:sz w:val="20"/>
                <w:szCs w:val="20"/>
              </w:rPr>
              <w:t xml:space="preserve">Extends the Merchants of Doubt framework to the regulatory science context — how product defence science operates specifically to delay OSHA, EPA, and FDA regulation. Essential for students interested in the policy and legal dimensions of science denial.</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'product defence' model: how is regulatory science different from academic science?</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concept of 'manufactured uncertainty' as a legal and regulatory strategy, not just a public relations one</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2 case study; Unit 6 policy discussion; legal and regulatory glossary terms</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563a8" w:val="clear"/>
            <w:tcMar>
              <w:top w:type="dxa" w:w="180"/>
              <w:left w:type="dxa" w:w="360"/>
              <w:bottom w:type="dxa" w:w="180"/>
              <w:right w:type="dxa" w:w="360"/>
            </w:tcMar>
          </w:tcPr>
          <w:p>
            <w:pPr>
              <w:spacing w:after="50"/>
            </w:pPr>
            <w:r>
              <w:rPr>
                <w:rFonts w:ascii="Arial" w:cs="Arial" w:eastAsia="Arial" w:hAnsi="Arial"/>
                <w:b/>
                <w:bCs/>
                <w:color w:val="aaccee"/>
                <w:sz w:val="16"/>
                <w:szCs w:val="16"/>
              </w:rPr>
              <w:t xml:space="preserve">UNIT 3  ·  Weeks 5–6</w:t>
            </w:r>
          </w:p>
          <w:p>
            <w:r>
              <w:rPr>
                <w:rFonts w:ascii="Arial" w:cs="Arial" w:eastAsia="Arial" w:hAnsi="Arial"/>
                <w:b/>
                <w:bCs/>
                <w:color w:val="ffffff"/>
                <w:sz w:val="26"/>
                <w:szCs w:val="26"/>
              </w:rPr>
              <w:t xml:space="preserve">Cognitive Psychology of Denial</w:t>
            </w:r>
          </w:p>
        </w:tc>
      </w:tr>
    </w:tbl>
    <w:p>
      <w:pPr>
        <w:spacing w:after="0" w:before="100"/>
      </w:pPr>
      <w:r>
        <w:t xml:space="preserve"/>
      </w:r>
    </w:p>
    <w:p>
      <w:pPr>
        <w:pBdr>
          <w:bottom w:val="single" w:color="0f2642" w:sz="6" w:space="4"/>
        </w:pBdr>
        <w:spacing w:after="80" w:before="240"/>
      </w:pPr>
      <w:r>
        <w:rPr>
          <w:rFonts w:ascii="Arial" w:cs="Arial" w:eastAsia="Arial" w:hAnsi="Arial"/>
          <w:b/>
          <w:bCs/>
          <w:color w:val="0f2642"/>
          <w:sz w:val="22"/>
          <w:szCs w:val="22"/>
        </w:rPr>
        <w:t xml:space="preserve">◆  Required Readings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beafe" w:val="clear"/>
            <w:tcMar>
              <w:top w:type="dxa" w:w="80"/>
              <w:left w:type="dxa" w:w="160"/>
              <w:bottom w:type="dxa" w:w="60"/>
              <w:right w:type="dxa" w:w="160"/>
            </w:tcMar>
          </w:tcPr>
          <w:p>
            <w:r>
              <w:rPr>
                <w:rFonts w:ascii="Arial" w:cs="Arial" w:eastAsia="Arial" w:hAnsi="Arial"/>
                <w:b/>
                <w:bCs/>
                <w:color w:val="2563a8"/>
                <w:sz w:val="18"/>
                <w:szCs w:val="18"/>
              </w:rPr>
              <w:t xml:space="preserve">[9]  </w:t>
            </w:r>
            <w:r>
              <w:rPr>
                <w:rFonts w:ascii="Arial" w:cs="Arial" w:eastAsia="Arial" w:hAnsi="Arial"/>
                <w:b/>
                <w:bCs/>
                <w:color w:val="2563a8"/>
                <w:spacing w:val="60"/>
                <w:sz w:val="14"/>
                <w:szCs w:val="14"/>
              </w:rPr>
              <w:t xml:space="preserve">BOOK</w:t>
            </w:r>
            <w:r>
              <w:t xml:space="preserve">   </w:t>
            </w:r>
            <w:r>
              <w:rPr>
                <w:rFonts w:ascii="Arial" w:cs="Arial" w:eastAsia="Arial" w:hAnsi="Arial"/>
                <w:b/>
                <w:bCs/>
                <w:color w:val="92400e"/>
                <w:spacing w:val="40"/>
                <w:sz w:val="14"/>
                <w:szCs w:val="14"/>
              </w:rPr>
              <w:t xml:space="preserve">  CHECK LIBRARY  </w:t>
            </w:r>
          </w:p>
        </w:tc>
      </w:tr>
      <w:tr>
        <w:tc>
          <w:tcPr>
            <w:tcW w:type="dxa" w:w="9360"/>
            <w:tcBorders>
              <w:top w:val="none" w:color="ffffff" w:sz="0"/>
              <w:left w:val="none" w:color="ffffff" w:sz="0"/>
              <w:bottom w:val="none" w:color="ffffff" w:sz="0"/>
              <w:right w:val="none" w:color="ffffff" w:sz="0"/>
            </w:tcBorders>
            <w:shd w:fill="dbeafe" w:val="clear"/>
            <w:tcMar>
              <w:top w:type="dxa" w:w="0"/>
              <w:left w:type="dxa" w:w="160"/>
              <w:bottom w:type="dxa" w:w="80"/>
              <w:right w:type="dxa" w:w="160"/>
            </w:tcMar>
          </w:tcPr>
          <w:p>
            <w:r>
              <w:rPr>
                <w:rFonts w:ascii="Arial" w:cs="Arial" w:eastAsia="Arial" w:hAnsi="Arial"/>
                <w:b/>
                <w:bCs/>
                <w:color w:val="1a3a5c"/>
                <w:sz w:val="20"/>
                <w:szCs w:val="20"/>
              </w:rPr>
              <w:t xml:space="preserve">O'Connor, Cailin, and James Owen Weatherall. 2019. The Misinformation Age: How False Beliefs Spread. New Haven: Yale University Press. Chapters 1–4.</w:t>
            </w:r>
          </w:p>
          <w:p>
            <w:r>
              <w:t xml:space="preserve"/>
            </w:r>
          </w:p>
        </w:tc>
      </w:tr>
      <w:tr>
        <w:tc>
          <w:tcPr>
            <w:tcW w:type="dxa" w:w="9360"/>
            <w:tcBorders>
              <w:top w:val="none" w:color="ffffff" w:sz="0"/>
              <w:left w:val="single" w:color="2563a8"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2563a8"/>
                <w:spacing w:val="60"/>
                <w:sz w:val="14"/>
                <w:szCs w:val="14"/>
              </w:rPr>
              <w:t xml:space="preserve">WHY THIS READING</w:t>
            </w:r>
          </w:p>
          <w:p>
            <w:r>
              <w:rPr>
                <w:rFonts w:ascii="Arial" w:cs="Arial" w:eastAsia="Arial" w:hAnsi="Arial"/>
                <w:color w:val="1a1a1a"/>
                <w:sz w:val="20"/>
                <w:szCs w:val="20"/>
              </w:rPr>
              <w:t xml:space="preserve">A rigorous philosophical and mathematical treatment of how false beliefs propagate through social networks even when individual agents are reasoning rationally. O'Connor and Weatherall's key contribution is showing that bad epistemics can be a structural property of communities — not a defect of individuals — and that rational self-interest can sustain false beliefs in the presence of industry-funded research. Essential for moving beyond 'people are just irrational' explanations of antiscience.</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formal models: you do not need to follow the mathematics in detail, but understand what each model is demonstrating</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concept of 'zeal': why do scientists update differently from laypersons, and what are the implications?</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funded research problem: how does the existence of industry-funded science affect rational belief formation in a community?</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Chapter 4: the 'lapses' chapter — how small individual biases produce large collective errors</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3 Kahan paradox case study; Unit 3 discussion on motivated reasoning; Unit 6 institutional reform arguments</w:t>
            </w:r>
          </w:p>
        </w:tc>
      </w:tr>
    </w:tbl>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cfce7" w:val="clear"/>
            <w:tcMar>
              <w:top w:type="dxa" w:w="80"/>
              <w:left w:type="dxa" w:w="160"/>
              <w:bottom w:type="dxa" w:w="60"/>
              <w:right w:type="dxa" w:w="160"/>
            </w:tcMar>
          </w:tcPr>
          <w:p>
            <w:r>
              <w:rPr>
                <w:rFonts w:ascii="Arial" w:cs="Arial" w:eastAsia="Arial" w:hAnsi="Arial"/>
                <w:b/>
                <w:bCs/>
                <w:color w:val="166534"/>
                <w:sz w:val="18"/>
                <w:szCs w:val="18"/>
              </w:rPr>
              <w:t xml:space="preserve">[10]  </w:t>
            </w:r>
            <w:r>
              <w:rPr>
                <w:rFonts w:ascii="Arial" w:cs="Arial" w:eastAsia="Arial" w:hAnsi="Arial"/>
                <w:b/>
                <w:bCs/>
                <w:color w:val="166534"/>
                <w:spacing w:val="60"/>
                <w:sz w:val="14"/>
                <w:szCs w:val="14"/>
              </w:rPr>
              <w:t xml:space="preserve">JOURNAL ARTICLE</w:t>
            </w:r>
            <w:r>
              <w:t xml:space="preserve">   </w:t>
            </w:r>
            <w:r>
              <w:rPr>
                <w:rFonts w:ascii="Arial" w:cs="Arial" w:eastAsia="Arial" w:hAnsi="Arial"/>
                <w:b/>
                <w:bCs/>
                <w:color w:val="92400e"/>
                <w:spacing w:val="40"/>
                <w:sz w:val="14"/>
                <w:szCs w:val="14"/>
              </w:rPr>
              <w:t xml:space="preserve">  CHECK LIBRARY  </w:t>
            </w:r>
          </w:p>
        </w:tc>
      </w:tr>
      <w:tr>
        <w:tc>
          <w:tcPr>
            <w:tcW w:type="dxa" w:w="9360"/>
            <w:tcBorders>
              <w:top w:val="none" w:color="ffffff" w:sz="0"/>
              <w:left w:val="none" w:color="ffffff" w:sz="0"/>
              <w:bottom w:val="none" w:color="ffffff" w:sz="0"/>
              <w:right w:val="none" w:color="ffffff" w:sz="0"/>
            </w:tcBorders>
            <w:shd w:fill="dcfce7" w:val="clear"/>
            <w:tcMar>
              <w:top w:type="dxa" w:w="0"/>
              <w:left w:type="dxa" w:w="160"/>
              <w:bottom w:type="dxa" w:w="80"/>
              <w:right w:type="dxa" w:w="160"/>
            </w:tcMar>
          </w:tcPr>
          <w:p>
            <w:r>
              <w:rPr>
                <w:rFonts w:ascii="Arial" w:cs="Arial" w:eastAsia="Arial" w:hAnsi="Arial"/>
                <w:b/>
                <w:bCs/>
                <w:color w:val="1a3a5c"/>
                <w:sz w:val="20"/>
                <w:szCs w:val="20"/>
              </w:rPr>
              <w:t xml:space="preserve">Nyhan, Brendan, and Jason Reifler. 2010. 'When Corrections Fail: The Persistence of Political Misperceptions.' Political Behavior 32 (2): 303–330.</w:t>
            </w:r>
          </w:p>
          <w:p>
            <w:r>
              <w:t xml:space="preserve"/>
            </w:r>
          </w:p>
        </w:tc>
      </w:tr>
      <w:tr>
        <w:tc>
          <w:tcPr>
            <w:tcW w:type="dxa" w:w="9360"/>
            <w:tcBorders>
              <w:top w:val="none" w:color="ffffff" w:sz="0"/>
              <w:left w:val="single" w:color="166534"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166534"/>
                <w:spacing w:val="60"/>
                <w:sz w:val="14"/>
                <w:szCs w:val="14"/>
              </w:rPr>
              <w:t xml:space="preserve">WHY THIS READING</w:t>
            </w:r>
          </w:p>
          <w:p>
            <w:r>
              <w:rPr>
                <w:rFonts w:ascii="Arial" w:cs="Arial" w:eastAsia="Arial" w:hAnsi="Arial"/>
                <w:color w:val="1a1a1a"/>
                <w:sz w:val="20"/>
                <w:szCs w:val="20"/>
              </w:rPr>
              <w:t xml:space="preserve">The original paper introducing the 'backfire effect' — the counterintuitive finding that correcting false political beliefs sometimes causes people to hold them more strongly. This paper is assigned partly for its findings and partly as a methodological case study: the backfire effect has proven difficult to replicate at scale, and the paper should be read alongside subsequent critiques. It remains important because it identified something real: confrontational correction is often ineffective.</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experimental design: how did Nyhan and Reifler test for the backfire effect?</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magnitude of the effect: how large was it in the original studies?</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specific conditions under which the effect appeared and did not appear</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Read critically: what are the limitations of this study design for generalising to real-world communication?</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3 discussion on correction strategies; Unit 5 debunking vs. prebunking</w:t>
            </w:r>
          </w:p>
        </w:tc>
      </w:tr>
    </w:tbl>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beafe" w:val="clear"/>
            <w:tcMar>
              <w:top w:type="dxa" w:w="80"/>
              <w:left w:type="dxa" w:w="160"/>
              <w:bottom w:type="dxa" w:w="60"/>
              <w:right w:type="dxa" w:w="160"/>
            </w:tcMar>
          </w:tcPr>
          <w:p>
            <w:r>
              <w:rPr>
                <w:rFonts w:ascii="Arial" w:cs="Arial" w:eastAsia="Arial" w:hAnsi="Arial"/>
                <w:b/>
                <w:bCs/>
                <w:color w:val="2563a8"/>
                <w:sz w:val="18"/>
                <w:szCs w:val="18"/>
              </w:rPr>
              <w:t xml:space="preserve">[11]  </w:t>
            </w:r>
            <w:r>
              <w:rPr>
                <w:rFonts w:ascii="Arial" w:cs="Arial" w:eastAsia="Arial" w:hAnsi="Arial"/>
                <w:b/>
                <w:bCs/>
                <w:color w:val="2563a8"/>
                <w:spacing w:val="60"/>
                <w:sz w:val="14"/>
                <w:szCs w:val="14"/>
              </w:rPr>
              <w:t xml:space="preserve">BOOK</w:t>
            </w:r>
            <w:r>
              <w:t xml:space="preserve">   </w:t>
            </w:r>
            <w:r>
              <w:rPr>
                <w:rFonts w:ascii="Arial" w:cs="Arial" w:eastAsia="Arial" w:hAnsi="Arial"/>
                <w:b/>
                <w:bCs/>
                <w:color w:val="92400e"/>
                <w:spacing w:val="40"/>
                <w:sz w:val="14"/>
                <w:szCs w:val="14"/>
              </w:rPr>
              <w:t xml:space="preserve">  CHECK LIBRARY  </w:t>
            </w:r>
          </w:p>
        </w:tc>
      </w:tr>
      <w:tr>
        <w:tc>
          <w:tcPr>
            <w:tcW w:type="dxa" w:w="9360"/>
            <w:tcBorders>
              <w:top w:val="none" w:color="ffffff" w:sz="0"/>
              <w:left w:val="none" w:color="ffffff" w:sz="0"/>
              <w:bottom w:val="none" w:color="ffffff" w:sz="0"/>
              <w:right w:val="none" w:color="ffffff" w:sz="0"/>
            </w:tcBorders>
            <w:shd w:fill="dbeafe" w:val="clear"/>
            <w:tcMar>
              <w:top w:type="dxa" w:w="0"/>
              <w:left w:type="dxa" w:w="160"/>
              <w:bottom w:type="dxa" w:w="80"/>
              <w:right w:type="dxa" w:w="160"/>
            </w:tcMar>
          </w:tcPr>
          <w:p>
            <w:r>
              <w:rPr>
                <w:rFonts w:ascii="Arial" w:cs="Arial" w:eastAsia="Arial" w:hAnsi="Arial"/>
                <w:b/>
                <w:bCs/>
                <w:color w:val="1a3a5c"/>
                <w:sz w:val="20"/>
                <w:szCs w:val="20"/>
              </w:rPr>
              <w:t xml:space="preserve">Hofer, Barbara K., and Gale M. Sinatra. 2021. Science Denial: Why It Happens and What to Do About It. Oxford: Oxford University Press. Chapters 3–5.</w:t>
            </w:r>
          </w:p>
          <w:p>
            <w:r>
              <w:t xml:space="preserve"/>
            </w:r>
          </w:p>
        </w:tc>
      </w:tr>
      <w:tr>
        <w:tc>
          <w:tcPr>
            <w:tcW w:type="dxa" w:w="9360"/>
            <w:tcBorders>
              <w:top w:val="none" w:color="ffffff" w:sz="0"/>
              <w:left w:val="single" w:color="2563a8"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2563a8"/>
                <w:spacing w:val="60"/>
                <w:sz w:val="14"/>
                <w:szCs w:val="14"/>
              </w:rPr>
              <w:t xml:space="preserve">WHY THIS READING</w:t>
            </w:r>
          </w:p>
          <w:p>
            <w:r>
              <w:rPr>
                <w:rFonts w:ascii="Arial" w:cs="Arial" w:eastAsia="Arial" w:hAnsi="Arial"/>
                <w:color w:val="1a1a1a"/>
                <w:sz w:val="20"/>
                <w:szCs w:val="20"/>
              </w:rPr>
              <w:t xml:space="preserve">The most pedagogically oriented text in the course on the psychology of science denial. Hofer and Sinatra synthesise the cognitive and developmental research in accessible form and, crucially, move directly from diagnosis to classroom-applicable recommendations. Chapters 3–5 cover motivated reasoning, identity, and what educators can realistically do given the psychological constraints documented in Unit 3.</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distinction between epistemic cognition (how people think about knowledge) and content cognition (what people believe)</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role of 'certainty' as an epistemological stance — many deniers are more certain, not less</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Chapter 5's practical recommendations: which do you find most plausible given what you know about the psychology?</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3 reflection questions; Unit 5 prebunking strategies; Unit 6 education policy recommendations</w:t>
            </w:r>
          </w:p>
        </w:tc>
      </w:tr>
    </w:tbl>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beafe" w:val="clear"/>
            <w:tcMar>
              <w:top w:type="dxa" w:w="80"/>
              <w:left w:type="dxa" w:w="160"/>
              <w:bottom w:type="dxa" w:w="60"/>
              <w:right w:type="dxa" w:w="160"/>
            </w:tcMar>
          </w:tcPr>
          <w:p>
            <w:r>
              <w:rPr>
                <w:rFonts w:ascii="Arial" w:cs="Arial" w:eastAsia="Arial" w:hAnsi="Arial"/>
                <w:b/>
                <w:bCs/>
                <w:color w:val="2563a8"/>
                <w:sz w:val="18"/>
                <w:szCs w:val="18"/>
              </w:rPr>
              <w:t xml:space="preserve">[12]  </w:t>
            </w:r>
            <w:r>
              <w:rPr>
                <w:rFonts w:ascii="Arial" w:cs="Arial" w:eastAsia="Arial" w:hAnsi="Arial"/>
                <w:b/>
                <w:bCs/>
                <w:color w:val="2563a8"/>
                <w:spacing w:val="60"/>
                <w:sz w:val="14"/>
                <w:szCs w:val="14"/>
              </w:rPr>
              <w:t xml:space="preserve">BOOK</w:t>
            </w:r>
            <w:r>
              <w:t xml:space="preserve">   </w:t>
            </w:r>
            <w:r>
              <w:rPr>
                <w:rFonts w:ascii="Arial" w:cs="Arial" w:eastAsia="Arial" w:hAnsi="Arial"/>
                <w:b/>
                <w:bCs/>
                <w:color w:val="92400e"/>
                <w:spacing w:val="40"/>
                <w:sz w:val="14"/>
                <w:szCs w:val="14"/>
              </w:rPr>
              <w:t xml:space="preserve">  CHECK LIBRARY  </w:t>
            </w:r>
          </w:p>
        </w:tc>
      </w:tr>
      <w:tr>
        <w:tc>
          <w:tcPr>
            <w:tcW w:type="dxa" w:w="9360"/>
            <w:tcBorders>
              <w:top w:val="none" w:color="ffffff" w:sz="0"/>
              <w:left w:val="none" w:color="ffffff" w:sz="0"/>
              <w:bottom w:val="none" w:color="ffffff" w:sz="0"/>
              <w:right w:val="none" w:color="ffffff" w:sz="0"/>
            </w:tcBorders>
            <w:shd w:fill="dbeafe" w:val="clear"/>
            <w:tcMar>
              <w:top w:type="dxa" w:w="0"/>
              <w:left w:type="dxa" w:w="160"/>
              <w:bottom w:type="dxa" w:w="80"/>
              <w:right w:type="dxa" w:w="160"/>
            </w:tcMar>
          </w:tcPr>
          <w:p>
            <w:r>
              <w:rPr>
                <w:rFonts w:ascii="Arial" w:cs="Arial" w:eastAsia="Arial" w:hAnsi="Arial"/>
                <w:b/>
                <w:bCs/>
                <w:color w:val="1a3a5c"/>
                <w:sz w:val="20"/>
                <w:szCs w:val="20"/>
              </w:rPr>
              <w:t xml:space="preserve">Kahneman, Daniel. 2011. Thinking, Fast and Slow. New York: Farrar, Straus and Giroux. Chapters 11–13.</w:t>
            </w:r>
          </w:p>
          <w:p>
            <w:r>
              <w:t xml:space="preserve"/>
            </w:r>
          </w:p>
        </w:tc>
      </w:tr>
      <w:tr>
        <w:tc>
          <w:tcPr>
            <w:tcW w:type="dxa" w:w="9360"/>
            <w:tcBorders>
              <w:top w:val="none" w:color="ffffff" w:sz="0"/>
              <w:left w:val="single" w:color="2563a8"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2563a8"/>
                <w:spacing w:val="60"/>
                <w:sz w:val="14"/>
                <w:szCs w:val="14"/>
              </w:rPr>
              <w:t xml:space="preserve">WHY THIS READING</w:t>
            </w:r>
          </w:p>
          <w:p>
            <w:r>
              <w:rPr>
                <w:rFonts w:ascii="Arial" w:cs="Arial" w:eastAsia="Arial" w:hAnsi="Arial"/>
                <w:color w:val="1a1a1a"/>
                <w:sz w:val="20"/>
                <w:szCs w:val="20"/>
              </w:rPr>
              <w:t xml:space="preserve">Kahneman's dual-process framework — System 1 (fast, intuitive, emotional) and System 2 (slow, analytical, effortful) — is the most widely used cognitive framework in science communication research. These chapters introduce availability heuristic, anchoring, and the conditions under which System 1 produces systematic errors. The framework is essential for understanding why misinformation (System 1 optimised) spreads more easily than corrections (System 2 content).</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availability heuristic: how does the ease of recalling examples affect probability estimates?</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Anchoring: how does the first number you hear affect subsequent judgments?</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key question: under what conditions do people engage System 2 rather than System 1?</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How does this framework explain the success of emotionally resonant antiscience content?</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3 discussion on misinformation spread; Unit 4 algorithmic amplification; Unit 5 inoculation design</w:t>
            </w:r>
          </w:p>
        </w:tc>
      </w:tr>
    </w:tbl>
    <w:p>
      <w:pPr>
        <w:spacing w:after="0" w:before="80"/>
      </w:pPr>
      <w:r>
        <w:t xml:space="preserve"/>
      </w:r>
    </w:p>
    <w:p>
      <w:pPr>
        <w:pBdr>
          <w:bottom w:val="single" w:color="0f2642" w:sz="6" w:space="4"/>
        </w:pBdr>
        <w:spacing w:after="80" w:before="240"/>
      </w:pPr>
      <w:r>
        <w:rPr>
          <w:rFonts w:ascii="Arial" w:cs="Arial" w:eastAsia="Arial" w:hAnsi="Arial"/>
          <w:b/>
          <w:bCs/>
          <w:color w:val="0f2642"/>
          <w:sz w:val="22"/>
          <w:szCs w:val="22"/>
        </w:rPr>
        <w:t xml:space="preserve">◆  Supplementary Readings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2f2f2" w:val="clear"/>
            <w:tcMar>
              <w:top w:type="dxa" w:w="80"/>
              <w:left w:type="dxa" w:w="160"/>
              <w:bottom w:type="dxa" w:w="60"/>
              <w:right w:type="dxa" w:w="160"/>
            </w:tcMar>
          </w:tcPr>
          <w:p>
            <w:r>
              <w:rPr>
                <w:rFonts w:ascii="Arial" w:cs="Arial" w:eastAsia="Arial" w:hAnsi="Arial"/>
                <w:b/>
                <w:bCs/>
                <w:color w:val="555555"/>
                <w:sz w:val="18"/>
                <w:szCs w:val="18"/>
              </w:rPr>
              <w:t xml:space="preserve">[13]  </w:t>
            </w:r>
            <w:r>
              <w:rPr>
                <w:rFonts w:ascii="Arial" w:cs="Arial" w:eastAsia="Arial" w:hAnsi="Arial"/>
                <w:b/>
                <w:bCs/>
                <w:color w:val="555555"/>
                <w:spacing w:val="60"/>
                <w:sz w:val="14"/>
                <w:szCs w:val="14"/>
              </w:rPr>
              <w:t xml:space="preserve">SUPPLEMENTARY</w:t>
            </w:r>
            <w:r>
              <w:t xml:space="preserve">   </w:t>
            </w:r>
            <w:r>
              <w:rPr>
                <w:rFonts w:ascii="Arial" w:cs="Arial" w:eastAsia="Arial" w:hAnsi="Arial"/>
                <w:b/>
                <w:bCs/>
                <w:color w:val="92400e"/>
                <w:spacing w:val="40"/>
                <w:sz w:val="14"/>
                <w:szCs w:val="14"/>
              </w:rPr>
              <w:t xml:space="preserve">  CHECK LIBRARY  </w:t>
            </w:r>
          </w:p>
        </w:tc>
      </w:tr>
      <w:tr>
        <w:tc>
          <w:tcPr>
            <w:tcW w:type="dxa" w:w="9360"/>
            <w:tcBorders>
              <w:top w:val="none" w:color="ffffff" w:sz="0"/>
              <w:left w:val="none" w:color="ffffff" w:sz="0"/>
              <w:bottom w:val="none" w:color="ffffff" w:sz="0"/>
              <w:right w:val="none" w:color="ffffff" w:sz="0"/>
            </w:tcBorders>
            <w:shd w:fill="f2f2f2" w:val="clear"/>
            <w:tcMar>
              <w:top w:type="dxa" w:w="0"/>
              <w:left w:type="dxa" w:w="160"/>
              <w:bottom w:type="dxa" w:w="80"/>
              <w:right w:type="dxa" w:w="160"/>
            </w:tcMar>
          </w:tcPr>
          <w:p>
            <w:r>
              <w:rPr>
                <w:rFonts w:ascii="Arial" w:cs="Arial" w:eastAsia="Arial" w:hAnsi="Arial"/>
                <w:b/>
                <w:bCs/>
                <w:color w:val="1a3a5c"/>
                <w:sz w:val="20"/>
                <w:szCs w:val="20"/>
              </w:rPr>
              <w:t xml:space="preserve">Kahan, Dan M., Ellen Peters, Maggie Wittlin, Paul Slovic, Lisa Larrimore Ouellette, Donald Braman, and Gregory Mandel. 2012. 'The Polarizing Impact of Science Literacy and Numeracy on Perceived Climate Change Risks.' Nature Climate Change 2: 732–735.</w:t>
            </w:r>
          </w:p>
          <w:p>
            <w:r>
              <w:t xml:space="preserve"/>
            </w:r>
          </w:p>
        </w:tc>
      </w:tr>
      <w:tr>
        <w:tc>
          <w:tcPr>
            <w:tcW w:type="dxa" w:w="9360"/>
            <w:tcBorders>
              <w:top w:val="none" w:color="ffffff" w:sz="0"/>
              <w:left w:val="single" w:color="555555"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555555"/>
                <w:spacing w:val="60"/>
                <w:sz w:val="14"/>
                <w:szCs w:val="14"/>
              </w:rPr>
              <w:t xml:space="preserve">WHY THIS READING</w:t>
            </w:r>
          </w:p>
          <w:p>
            <w:r>
              <w:rPr>
                <w:rFonts w:ascii="Arial" w:cs="Arial" w:eastAsia="Arial" w:hAnsi="Arial"/>
                <w:color w:val="1a1a1a"/>
                <w:sz w:val="20"/>
                <w:szCs w:val="20"/>
              </w:rPr>
              <w:t xml:space="preserve">The primary research paper underlying the 'Kahan paradox' discussed in Unit 3. Shows that scientific literacy and numeracy predict greater, not lesser, polarisation on climate change risk perception along political identity lines. Students interested in the empirical basis for identity-protective cognition should read this paper alongside the Hofer and Sinatra treatment.</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measure of 'science literacy' used: is it a good proxy for what it claims to measure?</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polarisation finding: what exactly is measured, and is 'polarisation' the right word?</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What the paper suggests about the limits of science education as a solution to antiscience</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3 Kahan paradox case study; Unit 6 policy brief on education</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e7490" w:val="clear"/>
            <w:tcMar>
              <w:top w:type="dxa" w:w="180"/>
              <w:left w:type="dxa" w:w="360"/>
              <w:bottom w:type="dxa" w:w="180"/>
              <w:right w:type="dxa" w:w="360"/>
            </w:tcMar>
          </w:tcPr>
          <w:p>
            <w:pPr>
              <w:spacing w:after="50"/>
            </w:pPr>
            <w:r>
              <w:rPr>
                <w:rFonts w:ascii="Arial" w:cs="Arial" w:eastAsia="Arial" w:hAnsi="Arial"/>
                <w:b/>
                <w:bCs/>
                <w:color w:val="aaccee"/>
                <w:sz w:val="16"/>
                <w:szCs w:val="16"/>
              </w:rPr>
              <w:t xml:space="preserve">UNIT 4  ·  Weeks 7–8</w:t>
            </w:r>
          </w:p>
          <w:p>
            <w:r>
              <w:rPr>
                <w:rFonts w:ascii="Arial" w:cs="Arial" w:eastAsia="Arial" w:hAnsi="Arial"/>
                <w:b/>
                <w:bCs/>
                <w:color w:val="ffffff"/>
                <w:sz w:val="26"/>
                <w:szCs w:val="26"/>
              </w:rPr>
              <w:t xml:space="preserve">Media, Misinformation &amp; Digital Ecosystems</w:t>
            </w:r>
          </w:p>
        </w:tc>
      </w:tr>
    </w:tbl>
    <w:p>
      <w:pPr>
        <w:spacing w:after="0" w:before="100"/>
      </w:pPr>
      <w:r>
        <w:t xml:space="preserve"/>
      </w:r>
    </w:p>
    <w:p>
      <w:pPr>
        <w:pBdr>
          <w:bottom w:val="single" w:color="0f2642" w:sz="6" w:space="4"/>
        </w:pBdr>
        <w:spacing w:after="80" w:before="240"/>
      </w:pPr>
      <w:r>
        <w:rPr>
          <w:rFonts w:ascii="Arial" w:cs="Arial" w:eastAsia="Arial" w:hAnsi="Arial"/>
          <w:b/>
          <w:bCs/>
          <w:color w:val="0f2642"/>
          <w:sz w:val="22"/>
          <w:szCs w:val="22"/>
        </w:rPr>
        <w:t xml:space="preserve">◆  Required Readings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beafe" w:val="clear"/>
            <w:tcMar>
              <w:top w:type="dxa" w:w="80"/>
              <w:left w:type="dxa" w:w="160"/>
              <w:bottom w:type="dxa" w:w="60"/>
              <w:right w:type="dxa" w:w="160"/>
            </w:tcMar>
          </w:tcPr>
          <w:p>
            <w:r>
              <w:rPr>
                <w:rFonts w:ascii="Arial" w:cs="Arial" w:eastAsia="Arial" w:hAnsi="Arial"/>
                <w:b/>
                <w:bCs/>
                <w:color w:val="2563a8"/>
                <w:sz w:val="18"/>
                <w:szCs w:val="18"/>
              </w:rPr>
              <w:t xml:space="preserve">[14]  </w:t>
            </w:r>
            <w:r>
              <w:rPr>
                <w:rFonts w:ascii="Arial" w:cs="Arial" w:eastAsia="Arial" w:hAnsi="Arial"/>
                <w:b/>
                <w:bCs/>
                <w:color w:val="2563a8"/>
                <w:spacing w:val="60"/>
                <w:sz w:val="14"/>
                <w:szCs w:val="14"/>
              </w:rPr>
              <w:t xml:space="preserve">BOOK</w:t>
            </w:r>
            <w:r>
              <w:t xml:space="preserve">   </w:t>
            </w:r>
            <w:r>
              <w:rPr>
                <w:rFonts w:ascii="Arial" w:cs="Arial" w:eastAsia="Arial" w:hAnsi="Arial"/>
                <w:b/>
                <w:bCs/>
                <w:color w:val="166534"/>
                <w:spacing w:val="40"/>
                <w:sz w:val="14"/>
                <w:szCs w:val="14"/>
              </w:rPr>
              <w:t xml:space="preserve">  OPEN ACCESS  </w:t>
            </w:r>
          </w:p>
        </w:tc>
      </w:tr>
      <w:tr>
        <w:tc>
          <w:tcPr>
            <w:tcW w:type="dxa" w:w="9360"/>
            <w:tcBorders>
              <w:top w:val="none" w:color="ffffff" w:sz="0"/>
              <w:left w:val="none" w:color="ffffff" w:sz="0"/>
              <w:bottom w:val="none" w:color="ffffff" w:sz="0"/>
              <w:right w:val="none" w:color="ffffff" w:sz="0"/>
            </w:tcBorders>
            <w:shd w:fill="dbeafe" w:val="clear"/>
            <w:tcMar>
              <w:top w:type="dxa" w:w="0"/>
              <w:left w:type="dxa" w:w="160"/>
              <w:bottom w:type="dxa" w:w="80"/>
              <w:right w:type="dxa" w:w="160"/>
            </w:tcMar>
          </w:tcPr>
          <w:p>
            <w:r>
              <w:rPr>
                <w:rFonts w:ascii="Arial" w:cs="Arial" w:eastAsia="Arial" w:hAnsi="Arial"/>
                <w:b/>
                <w:bCs/>
                <w:color w:val="1a3a5c"/>
                <w:sz w:val="20"/>
                <w:szCs w:val="20"/>
              </w:rPr>
              <w:t xml:space="preserve">Benkler, Yochai, Robert Faris, and Hal Roberts. 2018. Network Propaganda: Manipulation, Disinformation, and Radicalization in American Politics. Oxford: Oxford University Press. Chapters 1–3.</w:t>
            </w:r>
          </w:p>
          <w:p>
            <w:pPr>
              <w:spacing w:before="30"/>
            </w:pPr>
            <w:hyperlink w:history="1" r:id="rIdsiiksrtrrlkb8buudo-n6">
              <w:r>
                <w:rPr>
                  <w:rStyle w:val="Hyperlink"/>
                  <w:rFonts w:ascii="Arial" w:cs="Arial" w:eastAsia="Arial" w:hAnsi="Arial"/>
                  <w:color w:val="2563a8"/>
                  <w:sz w:val="18"/>
                  <w:szCs w:val="18"/>
                </w:rPr>
                <w:t xml:space="preserve">https://networkpropaganda.org</w:t>
              </w:r>
            </w:hyperlink>
          </w:p>
        </w:tc>
      </w:tr>
      <w:tr>
        <w:tc>
          <w:tcPr>
            <w:tcW w:type="dxa" w:w="9360"/>
            <w:tcBorders>
              <w:top w:val="none" w:color="ffffff" w:sz="0"/>
              <w:left w:val="single" w:color="2563a8"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2563a8"/>
                <w:spacing w:val="60"/>
                <w:sz w:val="14"/>
                <w:szCs w:val="14"/>
              </w:rPr>
              <w:t xml:space="preserve">WHY THIS READING</w:t>
            </w:r>
          </w:p>
          <w:p>
            <w:r>
              <w:rPr>
                <w:rFonts w:ascii="Arial" w:cs="Arial" w:eastAsia="Arial" w:hAnsi="Arial"/>
                <w:color w:val="1a1a1a"/>
                <w:sz w:val="20"/>
                <w:szCs w:val="20"/>
              </w:rPr>
              <w:t xml:space="preserve">The most rigorous empirical study of asymmetric misinformation flow in the US political media ecosystem. Benkler and colleagues analysed millions of news stories and social media posts around the 2016 election and found that misinformation flowed primarily through a tightly networked right-wing media ecosystem with weak gatekeeping norms, while the centre-left remained more constrained by mainstream outlets. Essential for understanding the structural, not just individual, dimensions of misinformation spread.</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methodology: how do you map an 'ecosystem' of news sources? What are the limitations?</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asymmetry finding: why does the paper argue this is a structural rather than equivalence problem?</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role of mainstream media in amplifying or constraining misinformation</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full text is open access at networkpropaganda.org — the authors deliberately made it freely available</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4 discussion on media ecosystems; Unit 4 media tracing exercise</w:t>
            </w:r>
          </w:p>
        </w:tc>
      </w:tr>
    </w:tbl>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e0f2f7" w:val="clear"/>
            <w:tcMar>
              <w:top w:type="dxa" w:w="80"/>
              <w:left w:type="dxa" w:w="160"/>
              <w:bottom w:type="dxa" w:w="60"/>
              <w:right w:type="dxa" w:w="160"/>
            </w:tcMar>
          </w:tcPr>
          <w:p>
            <w:r>
              <w:rPr>
                <w:rFonts w:ascii="Arial" w:cs="Arial" w:eastAsia="Arial" w:hAnsi="Arial"/>
                <w:b/>
                <w:bCs/>
                <w:color w:val="0e7490"/>
                <w:sz w:val="18"/>
                <w:szCs w:val="18"/>
              </w:rPr>
              <w:t xml:space="preserve">[15]  </w:t>
            </w:r>
            <w:r>
              <w:rPr>
                <w:rFonts w:ascii="Arial" w:cs="Arial" w:eastAsia="Arial" w:hAnsi="Arial"/>
                <w:b/>
                <w:bCs/>
                <w:color w:val="0e7490"/>
                <w:spacing w:val="60"/>
                <w:sz w:val="14"/>
                <w:szCs w:val="14"/>
              </w:rPr>
              <w:t xml:space="preserve">REPORT / GUIDE</w:t>
            </w:r>
            <w:r>
              <w:t xml:space="preserve">   </w:t>
            </w:r>
            <w:r>
              <w:rPr>
                <w:rFonts w:ascii="Arial" w:cs="Arial" w:eastAsia="Arial" w:hAnsi="Arial"/>
                <w:b/>
                <w:bCs/>
                <w:color w:val="166534"/>
                <w:spacing w:val="40"/>
                <w:sz w:val="14"/>
                <w:szCs w:val="14"/>
              </w:rPr>
              <w:t xml:space="preserve">  OPEN ACCESS  </w:t>
            </w:r>
          </w:p>
        </w:tc>
      </w:tr>
      <w:tr>
        <w:tc>
          <w:tcPr>
            <w:tcW w:type="dxa" w:w="9360"/>
            <w:tcBorders>
              <w:top w:val="none" w:color="ffffff" w:sz="0"/>
              <w:left w:val="none" w:color="ffffff" w:sz="0"/>
              <w:bottom w:val="none" w:color="ffffff" w:sz="0"/>
              <w:right w:val="none" w:color="ffffff" w:sz="0"/>
            </w:tcBorders>
            <w:shd w:fill="e0f2f7" w:val="clear"/>
            <w:tcMar>
              <w:top w:type="dxa" w:w="0"/>
              <w:left w:type="dxa" w:w="160"/>
              <w:bottom w:type="dxa" w:w="80"/>
              <w:right w:type="dxa" w:w="160"/>
            </w:tcMar>
          </w:tcPr>
          <w:p>
            <w:r>
              <w:rPr>
                <w:rFonts w:ascii="Arial" w:cs="Arial" w:eastAsia="Arial" w:hAnsi="Arial"/>
                <w:b/>
                <w:bCs/>
                <w:color w:val="1a3a5c"/>
                <w:sz w:val="20"/>
                <w:szCs w:val="20"/>
              </w:rPr>
              <w:t xml:space="preserve">Wardle, Claire, and Hossein Derakhshan. 2017. 'Information Disorder: Toward an Interdisciplinary Framework for Research and Policy Making.' Council of Europe Report DGI(2017)09.</w:t>
            </w:r>
          </w:p>
          <w:p>
            <w:pPr>
              <w:spacing w:before="30"/>
            </w:pPr>
            <w:hyperlink w:history="1" r:id="rIdo1urppatpwrrkghn4i6hd">
              <w:r>
                <w:rPr>
                  <w:rStyle w:val="Hyperlink"/>
                  <w:rFonts w:ascii="Arial" w:cs="Arial" w:eastAsia="Arial" w:hAnsi="Arial"/>
                  <w:color w:val="2563a8"/>
                  <w:sz w:val="18"/>
                  <w:szCs w:val="18"/>
                </w:rPr>
                <w:t xml:space="preserve">https://rm.coe.int/information-disorder-toward-an-interdisciplinary-framework-for-researc/168076277c</w:t>
              </w:r>
            </w:hyperlink>
          </w:p>
        </w:tc>
      </w:tr>
      <w:tr>
        <w:tc>
          <w:tcPr>
            <w:tcW w:type="dxa" w:w="9360"/>
            <w:tcBorders>
              <w:top w:val="none" w:color="ffffff" w:sz="0"/>
              <w:left w:val="single" w:color="0e7490"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0e7490"/>
                <w:spacing w:val="60"/>
                <w:sz w:val="14"/>
                <w:szCs w:val="14"/>
              </w:rPr>
              <w:t xml:space="preserve">WHY THIS READING</w:t>
            </w:r>
          </w:p>
          <w:p>
            <w:r>
              <w:rPr>
                <w:rFonts w:ascii="Arial" w:cs="Arial" w:eastAsia="Arial" w:hAnsi="Arial"/>
                <w:color w:val="1a1a1a"/>
                <w:sz w:val="20"/>
                <w:szCs w:val="20"/>
              </w:rPr>
              <w:t xml:space="preserve">Introduces the mis/dis/malinformation framework that is now the standard taxonomy in media literacy education globally. The framework's value is in the distinctions it forces: not all false information is disinformation (intent matters); not all harmful information is false (malinformation). The report also provides a comprehensive model of the information disorder ecosystem that is useful for the Unit 4 activity.</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three-category framework: misinformation, disinformation, malinformation — definitions and examples</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intent dimension: why does intent matter for how we should respond?</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'agent, message, interpreter' model: how does this help us think about intervention points?</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policy recommendations: which seem most actionable in your context?</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4 COVID infodemic case study; Unit 4 SIFT activity; media literacy glossary terms</w:t>
            </w:r>
          </w:p>
        </w:tc>
      </w:tr>
    </w:tbl>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cfce7" w:val="clear"/>
            <w:tcMar>
              <w:top w:type="dxa" w:w="80"/>
              <w:left w:type="dxa" w:w="160"/>
              <w:bottom w:type="dxa" w:w="60"/>
              <w:right w:type="dxa" w:w="160"/>
            </w:tcMar>
          </w:tcPr>
          <w:p>
            <w:r>
              <w:rPr>
                <w:rFonts w:ascii="Arial" w:cs="Arial" w:eastAsia="Arial" w:hAnsi="Arial"/>
                <w:b/>
                <w:bCs/>
                <w:color w:val="166534"/>
                <w:sz w:val="18"/>
                <w:szCs w:val="18"/>
              </w:rPr>
              <w:t xml:space="preserve">[16]  </w:t>
            </w:r>
            <w:r>
              <w:rPr>
                <w:rFonts w:ascii="Arial" w:cs="Arial" w:eastAsia="Arial" w:hAnsi="Arial"/>
                <w:b/>
                <w:bCs/>
                <w:color w:val="166534"/>
                <w:spacing w:val="60"/>
                <w:sz w:val="14"/>
                <w:szCs w:val="14"/>
              </w:rPr>
              <w:t xml:space="preserve">JOURNAL ARTICLE</w:t>
            </w:r>
            <w:r>
              <w:t xml:space="preserve">   </w:t>
            </w:r>
            <w:r>
              <w:rPr>
                <w:rFonts w:ascii="Arial" w:cs="Arial" w:eastAsia="Arial" w:hAnsi="Arial"/>
                <w:b/>
                <w:bCs/>
                <w:color w:val="92400e"/>
                <w:spacing w:val="40"/>
                <w:sz w:val="14"/>
                <w:szCs w:val="14"/>
              </w:rPr>
              <w:t xml:space="preserve">  CHECK LIBRARY  </w:t>
            </w:r>
          </w:p>
        </w:tc>
      </w:tr>
      <w:tr>
        <w:tc>
          <w:tcPr>
            <w:tcW w:type="dxa" w:w="9360"/>
            <w:tcBorders>
              <w:top w:val="none" w:color="ffffff" w:sz="0"/>
              <w:left w:val="none" w:color="ffffff" w:sz="0"/>
              <w:bottom w:val="none" w:color="ffffff" w:sz="0"/>
              <w:right w:val="none" w:color="ffffff" w:sz="0"/>
            </w:tcBorders>
            <w:shd w:fill="dcfce7" w:val="clear"/>
            <w:tcMar>
              <w:top w:type="dxa" w:w="0"/>
              <w:left w:type="dxa" w:w="160"/>
              <w:bottom w:type="dxa" w:w="80"/>
              <w:right w:type="dxa" w:w="160"/>
            </w:tcMar>
          </w:tcPr>
          <w:p>
            <w:r>
              <w:rPr>
                <w:rFonts w:ascii="Arial" w:cs="Arial" w:eastAsia="Arial" w:hAnsi="Arial"/>
                <w:b/>
                <w:bCs/>
                <w:color w:val="1a3a5c"/>
                <w:sz w:val="20"/>
                <w:szCs w:val="20"/>
              </w:rPr>
              <w:t xml:space="preserve">Vosoughi, Soroush, Deb Roy, and Sinan Aral. 2018. 'The Spread of True and False News Online.' Science 359 (6380): 1146–1151.</w:t>
            </w:r>
          </w:p>
          <w:p>
            <w:r>
              <w:t xml:space="preserve"/>
            </w:r>
          </w:p>
        </w:tc>
      </w:tr>
      <w:tr>
        <w:tc>
          <w:tcPr>
            <w:tcW w:type="dxa" w:w="9360"/>
            <w:tcBorders>
              <w:top w:val="none" w:color="ffffff" w:sz="0"/>
              <w:left w:val="single" w:color="166534"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166534"/>
                <w:spacing w:val="60"/>
                <w:sz w:val="14"/>
                <w:szCs w:val="14"/>
              </w:rPr>
              <w:t xml:space="preserve">WHY THIS READING</w:t>
            </w:r>
          </w:p>
          <w:p>
            <w:r>
              <w:rPr>
                <w:rFonts w:ascii="Arial" w:cs="Arial" w:eastAsia="Arial" w:hAnsi="Arial"/>
                <w:color w:val="1a1a1a"/>
                <w:sz w:val="20"/>
                <w:szCs w:val="20"/>
              </w:rPr>
              <w:t xml:space="preserve">The landmark MIT study that quantified the differential spread of true and false news on Twitter across 126,000 cascades from 2006–2017. The headline finding — false news spreads faster, further, and to more people than true news — has reshaped the science communication field. The mechanism finding is equally important: humans, not bots, are primarily responsible for the faster spread, driven by the novelty and emotional arousal of false content.</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operationalisation of 'true' and 'false': how did the researchers classify news stories? Is the method defensible?</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bot control analysis: how did the researchers rule out automated amplification as the primary driver?</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novelty and emotion finding: what specific emotions drove sharing of false content?</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implications for platform design: what would need to change to slow the spread of false news?</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4 discussion on algorithmic amplification; Unit 4 media tracing exercise; Unit 6 platform policy</w:t>
            </w:r>
          </w:p>
        </w:tc>
      </w:tr>
    </w:tbl>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beafe" w:val="clear"/>
            <w:tcMar>
              <w:top w:type="dxa" w:w="80"/>
              <w:left w:type="dxa" w:w="160"/>
              <w:bottom w:type="dxa" w:w="60"/>
              <w:right w:type="dxa" w:w="160"/>
            </w:tcMar>
          </w:tcPr>
          <w:p>
            <w:r>
              <w:rPr>
                <w:rFonts w:ascii="Arial" w:cs="Arial" w:eastAsia="Arial" w:hAnsi="Arial"/>
                <w:b/>
                <w:bCs/>
                <w:color w:val="2563a8"/>
                <w:sz w:val="18"/>
                <w:szCs w:val="18"/>
              </w:rPr>
              <w:t xml:space="preserve">[17]  </w:t>
            </w:r>
            <w:r>
              <w:rPr>
                <w:rFonts w:ascii="Arial" w:cs="Arial" w:eastAsia="Arial" w:hAnsi="Arial"/>
                <w:b/>
                <w:bCs/>
                <w:color w:val="2563a8"/>
                <w:spacing w:val="60"/>
                <w:sz w:val="14"/>
                <w:szCs w:val="14"/>
              </w:rPr>
              <w:t xml:space="preserve">BOOK</w:t>
            </w:r>
            <w:r>
              <w:t xml:space="preserve">   </w:t>
            </w:r>
            <w:r>
              <w:rPr>
                <w:rFonts w:ascii="Arial" w:cs="Arial" w:eastAsia="Arial" w:hAnsi="Arial"/>
                <w:b/>
                <w:bCs/>
                <w:color w:val="92400e"/>
                <w:spacing w:val="40"/>
                <w:sz w:val="14"/>
                <w:szCs w:val="14"/>
              </w:rPr>
              <w:t xml:space="preserve">  CHECK LIBRARY  </w:t>
            </w:r>
          </w:p>
        </w:tc>
      </w:tr>
      <w:tr>
        <w:tc>
          <w:tcPr>
            <w:tcW w:type="dxa" w:w="9360"/>
            <w:tcBorders>
              <w:top w:val="none" w:color="ffffff" w:sz="0"/>
              <w:left w:val="none" w:color="ffffff" w:sz="0"/>
              <w:bottom w:val="none" w:color="ffffff" w:sz="0"/>
              <w:right w:val="none" w:color="ffffff" w:sz="0"/>
            </w:tcBorders>
            <w:shd w:fill="dbeafe" w:val="clear"/>
            <w:tcMar>
              <w:top w:type="dxa" w:w="0"/>
              <w:left w:type="dxa" w:w="160"/>
              <w:bottom w:type="dxa" w:w="80"/>
              <w:right w:type="dxa" w:w="160"/>
            </w:tcMar>
          </w:tcPr>
          <w:p>
            <w:r>
              <w:rPr>
                <w:rFonts w:ascii="Arial" w:cs="Arial" w:eastAsia="Arial" w:hAnsi="Arial"/>
                <w:b/>
                <w:bCs/>
                <w:color w:val="1a3a5c"/>
                <w:sz w:val="20"/>
                <w:szCs w:val="20"/>
              </w:rPr>
              <w:t xml:space="preserve">Berman, Jonathan M. 2020. Anti/Vax: Reframing the Vaccination Controversy. Ithaca: Cornell University Press. Chapters 4–6.</w:t>
            </w:r>
          </w:p>
          <w:p>
            <w:r>
              <w:t xml:space="preserve"/>
            </w:r>
          </w:p>
        </w:tc>
      </w:tr>
      <w:tr>
        <w:tc>
          <w:tcPr>
            <w:tcW w:type="dxa" w:w="9360"/>
            <w:tcBorders>
              <w:top w:val="none" w:color="ffffff" w:sz="0"/>
              <w:left w:val="single" w:color="2563a8"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2563a8"/>
                <w:spacing w:val="60"/>
                <w:sz w:val="14"/>
                <w:szCs w:val="14"/>
              </w:rPr>
              <w:t xml:space="preserve">WHY THIS READING</w:t>
            </w:r>
          </w:p>
          <w:p>
            <w:r>
              <w:rPr>
                <w:rFonts w:ascii="Arial" w:cs="Arial" w:eastAsia="Arial" w:hAnsi="Arial"/>
                <w:color w:val="1a1a1a"/>
                <w:sz w:val="20"/>
                <w:szCs w:val="20"/>
              </w:rPr>
              <w:t xml:space="preserve">A detailed and scholarly case study of how antivax content moved from the fringes of 1990s alternative health culture into mainstream social media platforms in the 2010s. Berman traces the specific mechanisms of amplification — celebrity endorsement, algorithmic recommendation, YouTube rabbit holes — with precision. These chapters are the most detailed account in the course readings of misinformation ecosystem dynamics applied to a single health topic.</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route from Wakefield (1998) to mainstream social media (2010s): what were the critical amplification moments?</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role of celebrities and 'trusted figures' in spreading antivax content</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Platform-specific dynamics: how did YouTube's recommendation algorithm differ from Facebook's in spreading antivax content?</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Compare with Vosoughi et al.: does the antivax case support the novelty/emotion mechanism?</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4 discussion on digital ecosystems; connects back to Unit 1 Wakefield case study</w:t>
            </w:r>
          </w:p>
        </w:tc>
      </w:tr>
    </w:tbl>
    <w:p>
      <w:pPr>
        <w:spacing w:after="0" w:before="80"/>
      </w:pPr>
      <w:r>
        <w:t xml:space="preserve"/>
      </w:r>
    </w:p>
    <w:p>
      <w:pPr>
        <w:pBdr>
          <w:bottom w:val="single" w:color="0f2642" w:sz="6" w:space="4"/>
        </w:pBdr>
        <w:spacing w:after="80" w:before="240"/>
      </w:pPr>
      <w:r>
        <w:rPr>
          <w:rFonts w:ascii="Arial" w:cs="Arial" w:eastAsia="Arial" w:hAnsi="Arial"/>
          <w:b/>
          <w:bCs/>
          <w:color w:val="0f2642"/>
          <w:sz w:val="22"/>
          <w:szCs w:val="22"/>
        </w:rPr>
        <w:t xml:space="preserve">◆  Supplementary Readings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2f2f2" w:val="clear"/>
            <w:tcMar>
              <w:top w:type="dxa" w:w="80"/>
              <w:left w:type="dxa" w:w="160"/>
              <w:bottom w:type="dxa" w:w="60"/>
              <w:right w:type="dxa" w:w="160"/>
            </w:tcMar>
          </w:tcPr>
          <w:p>
            <w:r>
              <w:rPr>
                <w:rFonts w:ascii="Arial" w:cs="Arial" w:eastAsia="Arial" w:hAnsi="Arial"/>
                <w:b/>
                <w:bCs/>
                <w:color w:val="555555"/>
                <w:sz w:val="18"/>
                <w:szCs w:val="18"/>
              </w:rPr>
              <w:t xml:space="preserve">[18]  </w:t>
            </w:r>
            <w:r>
              <w:rPr>
                <w:rFonts w:ascii="Arial" w:cs="Arial" w:eastAsia="Arial" w:hAnsi="Arial"/>
                <w:b/>
                <w:bCs/>
                <w:color w:val="555555"/>
                <w:spacing w:val="60"/>
                <w:sz w:val="14"/>
                <w:szCs w:val="14"/>
              </w:rPr>
              <w:t xml:space="preserve">SUPPLEMENTARY</w:t>
            </w:r>
            <w:r>
              <w:t xml:space="preserve">   </w:t>
            </w:r>
            <w:r>
              <w:rPr>
                <w:rFonts w:ascii="Arial" w:cs="Arial" w:eastAsia="Arial" w:hAnsi="Arial"/>
                <w:b/>
                <w:bCs/>
                <w:color w:val="166534"/>
                <w:spacing w:val="40"/>
                <w:sz w:val="14"/>
                <w:szCs w:val="14"/>
              </w:rPr>
              <w:t xml:space="preserve">  OPEN ACCESS  </w:t>
            </w:r>
          </w:p>
        </w:tc>
      </w:tr>
      <w:tr>
        <w:tc>
          <w:tcPr>
            <w:tcW w:type="dxa" w:w="9360"/>
            <w:tcBorders>
              <w:top w:val="none" w:color="ffffff" w:sz="0"/>
              <w:left w:val="none" w:color="ffffff" w:sz="0"/>
              <w:bottom w:val="none" w:color="ffffff" w:sz="0"/>
              <w:right w:val="none" w:color="ffffff" w:sz="0"/>
            </w:tcBorders>
            <w:shd w:fill="f2f2f2" w:val="clear"/>
            <w:tcMar>
              <w:top w:type="dxa" w:w="0"/>
              <w:left w:type="dxa" w:w="160"/>
              <w:bottom w:type="dxa" w:w="80"/>
              <w:right w:type="dxa" w:w="160"/>
            </w:tcMar>
          </w:tcPr>
          <w:p>
            <w:r>
              <w:rPr>
                <w:rFonts w:ascii="Arial" w:cs="Arial" w:eastAsia="Arial" w:hAnsi="Arial"/>
                <w:b/>
                <w:bCs/>
                <w:color w:val="1a3a5c"/>
                <w:sz w:val="20"/>
                <w:szCs w:val="20"/>
              </w:rPr>
              <w:t xml:space="preserve">Pennycook, Gordon, and David G. Rand. 2019. 'Lazy, Not Biased: Susceptibility to Partisan Fake News Is Better Explained by Lack of Reasoning Than Motivated Reasoning.' Cognition 188: 39–50.</w:t>
            </w:r>
          </w:p>
          <w:p>
            <w:pPr>
              <w:spacing w:before="30"/>
            </w:pPr>
            <w:hyperlink w:history="1" r:id="rIdp6ufvsmue6sdweh-rkasv">
              <w:r>
                <w:rPr>
                  <w:rStyle w:val="Hyperlink"/>
                  <w:rFonts w:ascii="Arial" w:cs="Arial" w:eastAsia="Arial" w:hAnsi="Arial"/>
                  <w:color w:val="2563a8"/>
                  <w:sz w:val="18"/>
                  <w:szCs w:val="18"/>
                </w:rPr>
                <w:t xml:space="preserve">https://doi.org/10.1016/j.cognition.2018.06.011</w:t>
              </w:r>
            </w:hyperlink>
          </w:p>
        </w:tc>
      </w:tr>
      <w:tr>
        <w:tc>
          <w:tcPr>
            <w:tcW w:type="dxa" w:w="9360"/>
            <w:tcBorders>
              <w:top w:val="none" w:color="ffffff" w:sz="0"/>
              <w:left w:val="single" w:color="555555"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555555"/>
                <w:spacing w:val="60"/>
                <w:sz w:val="14"/>
                <w:szCs w:val="14"/>
              </w:rPr>
              <w:t xml:space="preserve">WHY THIS READING</w:t>
            </w:r>
          </w:p>
          <w:p>
            <w:r>
              <w:rPr>
                <w:rFonts w:ascii="Arial" w:cs="Arial" w:eastAsia="Arial" w:hAnsi="Arial"/>
                <w:color w:val="1a1a1a"/>
                <w:sz w:val="20"/>
                <w:szCs w:val="20"/>
              </w:rPr>
              <w:t xml:space="preserve">A significant challenge to the Kahan identity-protective cognition finding from Unit 3. Pennycook and Rand argue that analytical thinking, not partisan identity, is the primary driver of misinformation acceptance — people are lazy, not biased. If correct, this has major implications for pedagogy (critical thinking education matters more than identity-affirming approaches). Students should read this alongside Kahan and form their own view of the evidence.</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experimental design: how do Pennycook and Rand operationalise 'analytical thinking'?</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How does their finding differ from Kahan's, and are the two studies actually measuring the same thing?</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What are the implications if both papers are partially right?</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3 motivated reasoning discussion; Unit 5 inoculation design; Unit 6 education policy</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6d28d9" w:val="clear"/>
            <w:tcMar>
              <w:top w:type="dxa" w:w="180"/>
              <w:left w:type="dxa" w:w="360"/>
              <w:bottom w:type="dxa" w:w="180"/>
              <w:right w:type="dxa" w:w="360"/>
            </w:tcMar>
          </w:tcPr>
          <w:p>
            <w:pPr>
              <w:spacing w:after="50"/>
            </w:pPr>
            <w:r>
              <w:rPr>
                <w:rFonts w:ascii="Arial" w:cs="Arial" w:eastAsia="Arial" w:hAnsi="Arial"/>
                <w:b/>
                <w:bCs/>
                <w:color w:val="aaccee"/>
                <w:sz w:val="16"/>
                <w:szCs w:val="16"/>
              </w:rPr>
              <w:t xml:space="preserve">UNIT 5  ·  Weeks 9–10</w:t>
            </w:r>
          </w:p>
          <w:p>
            <w:r>
              <w:rPr>
                <w:rFonts w:ascii="Arial" w:cs="Arial" w:eastAsia="Arial" w:hAnsi="Arial"/>
                <w:b/>
                <w:bCs/>
                <w:color w:val="ffffff"/>
                <w:sz w:val="26"/>
                <w:szCs w:val="26"/>
              </w:rPr>
              <w:t xml:space="preserve">Countering Antiscience: Inoculation &amp; Prebunking</w:t>
            </w:r>
          </w:p>
        </w:tc>
      </w:tr>
    </w:tbl>
    <w:p>
      <w:pPr>
        <w:spacing w:after="0" w:before="100"/>
      </w:pPr>
      <w:r>
        <w:t xml:space="preserve"/>
      </w:r>
    </w:p>
    <w:p>
      <w:pPr>
        <w:pBdr>
          <w:bottom w:val="single" w:color="0f2642" w:sz="6" w:space="4"/>
        </w:pBdr>
        <w:spacing w:after="80" w:before="240"/>
      </w:pPr>
      <w:r>
        <w:rPr>
          <w:rFonts w:ascii="Arial" w:cs="Arial" w:eastAsia="Arial" w:hAnsi="Arial"/>
          <w:b/>
          <w:bCs/>
          <w:color w:val="0f2642"/>
          <w:sz w:val="22"/>
          <w:szCs w:val="22"/>
        </w:rPr>
        <w:t xml:space="preserve">◆  Required Readings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cfce7" w:val="clear"/>
            <w:tcMar>
              <w:top w:type="dxa" w:w="80"/>
              <w:left w:type="dxa" w:w="160"/>
              <w:bottom w:type="dxa" w:w="60"/>
              <w:right w:type="dxa" w:w="160"/>
            </w:tcMar>
          </w:tcPr>
          <w:p>
            <w:r>
              <w:rPr>
                <w:rFonts w:ascii="Arial" w:cs="Arial" w:eastAsia="Arial" w:hAnsi="Arial"/>
                <w:b/>
                <w:bCs/>
                <w:color w:val="166534"/>
                <w:sz w:val="18"/>
                <w:szCs w:val="18"/>
              </w:rPr>
              <w:t xml:space="preserve">[19]  </w:t>
            </w:r>
            <w:r>
              <w:rPr>
                <w:rFonts w:ascii="Arial" w:cs="Arial" w:eastAsia="Arial" w:hAnsi="Arial"/>
                <w:b/>
                <w:bCs/>
                <w:color w:val="166534"/>
                <w:spacing w:val="60"/>
                <w:sz w:val="14"/>
                <w:szCs w:val="14"/>
              </w:rPr>
              <w:t xml:space="preserve">JOURNAL ARTICLE</w:t>
            </w:r>
            <w:r>
              <w:t xml:space="preserve">   </w:t>
            </w:r>
            <w:r>
              <w:rPr>
                <w:rFonts w:ascii="Arial" w:cs="Arial" w:eastAsia="Arial" w:hAnsi="Arial"/>
                <w:b/>
                <w:bCs/>
                <w:color w:val="166534"/>
                <w:spacing w:val="40"/>
                <w:sz w:val="14"/>
                <w:szCs w:val="14"/>
              </w:rPr>
              <w:t xml:space="preserve">  OPEN ACCESS  </w:t>
            </w:r>
          </w:p>
        </w:tc>
      </w:tr>
      <w:tr>
        <w:tc>
          <w:tcPr>
            <w:tcW w:type="dxa" w:w="9360"/>
            <w:tcBorders>
              <w:top w:val="none" w:color="ffffff" w:sz="0"/>
              <w:left w:val="none" w:color="ffffff" w:sz="0"/>
              <w:bottom w:val="none" w:color="ffffff" w:sz="0"/>
              <w:right w:val="none" w:color="ffffff" w:sz="0"/>
            </w:tcBorders>
            <w:shd w:fill="dcfce7" w:val="clear"/>
            <w:tcMar>
              <w:top w:type="dxa" w:w="0"/>
              <w:left w:type="dxa" w:w="160"/>
              <w:bottom w:type="dxa" w:w="80"/>
              <w:right w:type="dxa" w:w="160"/>
            </w:tcMar>
          </w:tcPr>
          <w:p>
            <w:r>
              <w:rPr>
                <w:rFonts w:ascii="Arial" w:cs="Arial" w:eastAsia="Arial" w:hAnsi="Arial"/>
                <w:b/>
                <w:bCs/>
                <w:color w:val="1a3a5c"/>
                <w:sz w:val="20"/>
                <w:szCs w:val="20"/>
              </w:rPr>
              <w:t xml:space="preserve">van der Linden, Sander, Anthony Leiserowitz, Seth Rosenthal, and Edward Maibach. 2017. 'Inoculating the Public against Misinformation about Climate Change.' Global Challenges 1 (2): 1600008.</w:t>
            </w:r>
          </w:p>
          <w:p>
            <w:pPr>
              <w:spacing w:before="30"/>
            </w:pPr>
            <w:hyperlink w:history="1" r:id="rIdnmjz3x63fntcxq1b7stx4">
              <w:r>
                <w:rPr>
                  <w:rStyle w:val="Hyperlink"/>
                  <w:rFonts w:ascii="Arial" w:cs="Arial" w:eastAsia="Arial" w:hAnsi="Arial"/>
                  <w:color w:val="2563a8"/>
                  <w:sz w:val="18"/>
                  <w:szCs w:val="18"/>
                </w:rPr>
                <w:t xml:space="preserve">https://doi.org/10.1002/gch2.201600008</w:t>
              </w:r>
            </w:hyperlink>
          </w:p>
        </w:tc>
      </w:tr>
      <w:tr>
        <w:tc>
          <w:tcPr>
            <w:tcW w:type="dxa" w:w="9360"/>
            <w:tcBorders>
              <w:top w:val="none" w:color="ffffff" w:sz="0"/>
              <w:left w:val="single" w:color="166534"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166534"/>
                <w:spacing w:val="60"/>
                <w:sz w:val="14"/>
                <w:szCs w:val="14"/>
              </w:rPr>
              <w:t xml:space="preserve">WHY THIS READING</w:t>
            </w:r>
          </w:p>
          <w:p>
            <w:r>
              <w:rPr>
                <w:rFonts w:ascii="Arial" w:cs="Arial" w:eastAsia="Arial" w:hAnsi="Arial"/>
                <w:color w:val="1a1a1a"/>
                <w:sz w:val="20"/>
                <w:szCs w:val="20"/>
              </w:rPr>
              <w:t xml:space="preserve">The foundational experimental paper demonstrating that psychological inoculation can confer resistance to climate misinformation. Van der Linden and colleagues showed that exposing participants to a weakened form of a false consensus claim (warning them it was misleading before they encountered it) significantly reduced its persuasive effect. This is the paper that relaunched inoculation theory as a practical tool for science communicators.</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experimental design: what was the 'inoculation' treatment and how was it delivered?</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effect size: how large was the protective effect? How durable was it?</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mechanism: is the protection due to awareness of the technique, the specific refutation, or both?</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distinction between topic-based and technique-based inoculation: which approach does this paper use?</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5 inoculation theory lecture; Unit 5 prebunk writing activity; Unit 6 education policy recommendations</w:t>
            </w:r>
          </w:p>
        </w:tc>
      </w:tr>
    </w:tbl>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ffbeb" w:val="clear"/>
            <w:tcMar>
              <w:top w:type="dxa" w:w="80"/>
              <w:left w:type="dxa" w:w="160"/>
              <w:bottom w:type="dxa" w:w="60"/>
              <w:right w:type="dxa" w:w="160"/>
            </w:tcMar>
          </w:tcPr>
          <w:p>
            <w:r>
              <w:rPr>
                <w:rFonts w:ascii="Arial" w:cs="Arial" w:eastAsia="Arial" w:hAnsi="Arial"/>
                <w:b/>
                <w:bCs/>
                <w:color w:val="d4a017"/>
                <w:sz w:val="18"/>
                <w:szCs w:val="18"/>
              </w:rPr>
              <w:t xml:space="preserve">[20]  </w:t>
            </w:r>
            <w:r>
              <w:rPr>
                <w:rFonts w:ascii="Arial" w:cs="Arial" w:eastAsia="Arial" w:hAnsi="Arial"/>
                <w:b/>
                <w:bCs/>
                <w:color w:val="d4a017"/>
                <w:spacing w:val="60"/>
                <w:sz w:val="14"/>
                <w:szCs w:val="14"/>
              </w:rPr>
              <w:t xml:space="preserve">HANDBOOK</w:t>
            </w:r>
            <w:r>
              <w:t xml:space="preserve">   </w:t>
            </w:r>
            <w:r>
              <w:rPr>
                <w:rFonts w:ascii="Arial" w:cs="Arial" w:eastAsia="Arial" w:hAnsi="Arial"/>
                <w:b/>
                <w:bCs/>
                <w:color w:val="166534"/>
                <w:spacing w:val="40"/>
                <w:sz w:val="14"/>
                <w:szCs w:val="14"/>
              </w:rPr>
              <w:t xml:space="preserve">  OPEN ACCESS  </w:t>
            </w:r>
          </w:p>
        </w:tc>
      </w:tr>
      <w:tr>
        <w:tc>
          <w:tcPr>
            <w:tcW w:type="dxa" w:w="9360"/>
            <w:tcBorders>
              <w:top w:val="none" w:color="ffffff" w:sz="0"/>
              <w:left w:val="none" w:color="ffffff" w:sz="0"/>
              <w:bottom w:val="none" w:color="ffffff" w:sz="0"/>
              <w:right w:val="none" w:color="ffffff" w:sz="0"/>
            </w:tcBorders>
            <w:shd w:fill="fffbeb" w:val="clear"/>
            <w:tcMar>
              <w:top w:type="dxa" w:w="0"/>
              <w:left w:type="dxa" w:w="160"/>
              <w:bottom w:type="dxa" w:w="80"/>
              <w:right w:type="dxa" w:w="160"/>
            </w:tcMar>
          </w:tcPr>
          <w:p>
            <w:r>
              <w:rPr>
                <w:rFonts w:ascii="Arial" w:cs="Arial" w:eastAsia="Arial" w:hAnsi="Arial"/>
                <w:b/>
                <w:bCs/>
                <w:color w:val="1a3a5c"/>
                <w:sz w:val="20"/>
                <w:szCs w:val="20"/>
              </w:rPr>
              <w:t xml:space="preserve">Lewandowsky, Stephan, John Cook, Ullrich Ecker, Dolores Albarracin, Michelle Amazeen, Panayiota Kendeou, Doug Lombardi, et al. 2020. The Debunking Handbook 2020. Available at https://www.debunkinhandbook.org.</w:t>
            </w:r>
          </w:p>
          <w:p>
            <w:pPr>
              <w:spacing w:before="30"/>
            </w:pPr>
            <w:hyperlink w:history="1" r:id="rIdctl2nomadvggv839csz15">
              <w:r>
                <w:rPr>
                  <w:rStyle w:val="Hyperlink"/>
                  <w:rFonts w:ascii="Arial" w:cs="Arial" w:eastAsia="Arial" w:hAnsi="Arial"/>
                  <w:color w:val="2563a8"/>
                  <w:sz w:val="18"/>
                  <w:szCs w:val="18"/>
                </w:rPr>
                <w:t xml:space="preserve">https://www.debunkinhandbook.org</w:t>
              </w:r>
            </w:hyperlink>
          </w:p>
        </w:tc>
      </w:tr>
      <w:tr>
        <w:tc>
          <w:tcPr>
            <w:tcW w:type="dxa" w:w="9360"/>
            <w:tcBorders>
              <w:top w:val="none" w:color="ffffff" w:sz="0"/>
              <w:left w:val="single" w:color="d4a017"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d4a017"/>
                <w:spacing w:val="60"/>
                <w:sz w:val="14"/>
                <w:szCs w:val="14"/>
              </w:rPr>
              <w:t xml:space="preserve">WHY THIS READING</w:t>
            </w:r>
          </w:p>
          <w:p>
            <w:r>
              <w:rPr>
                <w:rFonts w:ascii="Arial" w:cs="Arial" w:eastAsia="Arial" w:hAnsi="Arial"/>
                <w:color w:val="1a1a1a"/>
                <w:sz w:val="20"/>
                <w:szCs w:val="20"/>
              </w:rPr>
              <w:t xml:space="preserve">The most important single practical document in the science communication field. The Debunking Handbook synthesises decades of experimental research on misinformation correction into accessible, evidence-based guidance for practitioners. It is short (44 pages), freely downloadable, and directly applicable. The Fact-Myth-Fallacy structure recommended in Unit 5 comes directly from this handbook. Assign in full — there is no substitute for reading it completely.</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Fact-Myth-Fallacy structure: memorise this. You will use it in the Unit 5 activity and throughout your career</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'familiarity backfire': why does repeating the myth risk strengthening it?</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overkill backfire: why does providing too much evidence sometimes reduce persuasion?</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recommendations on specific language: the word 'hoax' and why to avoid it</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section on trusted messengers: who should deliver corrections, and why does it matter?</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5 prebunk writing activity; Unit 5 Bad News game case study; all correction-related discussions</w:t>
            </w:r>
          </w:p>
        </w:tc>
      </w:tr>
    </w:tbl>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cfce7" w:val="clear"/>
            <w:tcMar>
              <w:top w:type="dxa" w:w="80"/>
              <w:left w:type="dxa" w:w="160"/>
              <w:bottom w:type="dxa" w:w="60"/>
              <w:right w:type="dxa" w:w="160"/>
            </w:tcMar>
          </w:tcPr>
          <w:p>
            <w:r>
              <w:rPr>
                <w:rFonts w:ascii="Arial" w:cs="Arial" w:eastAsia="Arial" w:hAnsi="Arial"/>
                <w:b/>
                <w:bCs/>
                <w:color w:val="166534"/>
                <w:sz w:val="18"/>
                <w:szCs w:val="18"/>
              </w:rPr>
              <w:t xml:space="preserve">[21]  </w:t>
            </w:r>
            <w:r>
              <w:rPr>
                <w:rFonts w:ascii="Arial" w:cs="Arial" w:eastAsia="Arial" w:hAnsi="Arial"/>
                <w:b/>
                <w:bCs/>
                <w:color w:val="166534"/>
                <w:spacing w:val="60"/>
                <w:sz w:val="14"/>
                <w:szCs w:val="14"/>
              </w:rPr>
              <w:t xml:space="preserve">JOURNAL ARTICLE</w:t>
            </w:r>
            <w:r>
              <w:t xml:space="preserve">   </w:t>
            </w:r>
            <w:r>
              <w:rPr>
                <w:rFonts w:ascii="Arial" w:cs="Arial" w:eastAsia="Arial" w:hAnsi="Arial"/>
                <w:b/>
                <w:bCs/>
                <w:color w:val="166534"/>
                <w:spacing w:val="40"/>
                <w:sz w:val="14"/>
                <w:szCs w:val="14"/>
              </w:rPr>
              <w:t xml:space="preserve">  OPEN ACCESS  </w:t>
            </w:r>
          </w:p>
        </w:tc>
      </w:tr>
      <w:tr>
        <w:tc>
          <w:tcPr>
            <w:tcW w:type="dxa" w:w="9360"/>
            <w:tcBorders>
              <w:top w:val="none" w:color="ffffff" w:sz="0"/>
              <w:left w:val="none" w:color="ffffff" w:sz="0"/>
              <w:bottom w:val="none" w:color="ffffff" w:sz="0"/>
              <w:right w:val="none" w:color="ffffff" w:sz="0"/>
            </w:tcBorders>
            <w:shd w:fill="dcfce7" w:val="clear"/>
            <w:tcMar>
              <w:top w:type="dxa" w:w="0"/>
              <w:left w:type="dxa" w:w="160"/>
              <w:bottom w:type="dxa" w:w="80"/>
              <w:right w:type="dxa" w:w="160"/>
            </w:tcMar>
          </w:tcPr>
          <w:p>
            <w:r>
              <w:rPr>
                <w:rFonts w:ascii="Arial" w:cs="Arial" w:eastAsia="Arial" w:hAnsi="Arial"/>
                <w:b/>
                <w:bCs/>
                <w:color w:val="1a3a5c"/>
                <w:sz w:val="20"/>
                <w:szCs w:val="20"/>
              </w:rPr>
              <w:t xml:space="preserve">Cook, John, Stephan Lewandowsky, and Ullrich K. H. Ecker. 2017. 'Neutralizing Misinformation through Inoculation: Exposing Misleading Argumentation Techniques Reduces Their Influence.' PLOS ONE 12 (5): e0175799.</w:t>
            </w:r>
          </w:p>
          <w:p>
            <w:pPr>
              <w:spacing w:before="30"/>
            </w:pPr>
            <w:hyperlink w:history="1" r:id="rIdw3e2bu3ilcqjhuxkpu6ox">
              <w:r>
                <w:rPr>
                  <w:rStyle w:val="Hyperlink"/>
                  <w:rFonts w:ascii="Arial" w:cs="Arial" w:eastAsia="Arial" w:hAnsi="Arial"/>
                  <w:color w:val="2563a8"/>
                  <w:sz w:val="18"/>
                  <w:szCs w:val="18"/>
                </w:rPr>
                <w:t xml:space="preserve">https://doi.org/10.1371/journal.pone.0175799</w:t>
              </w:r>
            </w:hyperlink>
          </w:p>
        </w:tc>
      </w:tr>
      <w:tr>
        <w:tc>
          <w:tcPr>
            <w:tcW w:type="dxa" w:w="9360"/>
            <w:tcBorders>
              <w:top w:val="none" w:color="ffffff" w:sz="0"/>
              <w:left w:val="single" w:color="166534"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166534"/>
                <w:spacing w:val="60"/>
                <w:sz w:val="14"/>
                <w:szCs w:val="14"/>
              </w:rPr>
              <w:t xml:space="preserve">WHY THIS READING</w:t>
            </w:r>
          </w:p>
          <w:p>
            <w:r>
              <w:rPr>
                <w:rFonts w:ascii="Arial" w:cs="Arial" w:eastAsia="Arial" w:hAnsi="Arial"/>
                <w:color w:val="1a1a1a"/>
                <w:sz w:val="20"/>
                <w:szCs w:val="20"/>
              </w:rPr>
              <w:t xml:space="preserve">The paper that established technique-based inoculation as superior to topic-based inoculation for producing transferable, durable resistance. Cook and colleagues show that teaching people to recognise the logical fallacies underlying misinformation — rather than correcting specific false claims — produces broader and more robust protection. This is the theoretical basis for the FLICC framework used throughout the course.</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experimental comparison: technique-based vs. topic-based inoculation effects</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transfer finding: does inoculation against one misleading technique protect against others?</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durability question: how long do inoculation effects persist? What does this study tell us?</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FLICC acronym: where does it appear in this paper and how is it derived?</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5 discussion on prebunking design; Unit 5 prebunk writing activity</w:t>
            </w:r>
          </w:p>
        </w:tc>
      </w:tr>
    </w:tbl>
    <w:p>
      <w:pPr>
        <w:spacing w:after="0" w:before="80"/>
      </w:pPr>
      <w:r>
        <w:t xml:space="preserve"/>
      </w:r>
    </w:p>
    <w:p>
      <w:pPr>
        <w:pBdr>
          <w:bottom w:val="single" w:color="0f2642" w:sz="6" w:space="4"/>
        </w:pBdr>
        <w:spacing w:after="80" w:before="240"/>
      </w:pPr>
      <w:r>
        <w:rPr>
          <w:rFonts w:ascii="Arial" w:cs="Arial" w:eastAsia="Arial" w:hAnsi="Arial"/>
          <w:b/>
          <w:bCs/>
          <w:color w:val="0f2642"/>
          <w:sz w:val="22"/>
          <w:szCs w:val="22"/>
        </w:rPr>
        <w:t xml:space="preserve">◆  Supplementary Readings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2f2f2" w:val="clear"/>
            <w:tcMar>
              <w:top w:type="dxa" w:w="80"/>
              <w:left w:type="dxa" w:w="160"/>
              <w:bottom w:type="dxa" w:w="60"/>
              <w:right w:type="dxa" w:w="160"/>
            </w:tcMar>
          </w:tcPr>
          <w:p>
            <w:r>
              <w:rPr>
                <w:rFonts w:ascii="Arial" w:cs="Arial" w:eastAsia="Arial" w:hAnsi="Arial"/>
                <w:b/>
                <w:bCs/>
                <w:color w:val="555555"/>
                <w:sz w:val="18"/>
                <w:szCs w:val="18"/>
              </w:rPr>
              <w:t xml:space="preserve">[22]  </w:t>
            </w:r>
            <w:r>
              <w:rPr>
                <w:rFonts w:ascii="Arial" w:cs="Arial" w:eastAsia="Arial" w:hAnsi="Arial"/>
                <w:b/>
                <w:bCs/>
                <w:color w:val="555555"/>
                <w:spacing w:val="60"/>
                <w:sz w:val="14"/>
                <w:szCs w:val="14"/>
              </w:rPr>
              <w:t xml:space="preserve">SUPPLEMENTARY</w:t>
            </w:r>
            <w:r>
              <w:t xml:space="preserve">   </w:t>
            </w:r>
            <w:r>
              <w:rPr>
                <w:rFonts w:ascii="Arial" w:cs="Arial" w:eastAsia="Arial" w:hAnsi="Arial"/>
                <w:b/>
                <w:bCs/>
                <w:color w:val="166534"/>
                <w:spacing w:val="40"/>
                <w:sz w:val="14"/>
                <w:szCs w:val="14"/>
              </w:rPr>
              <w:t xml:space="preserve">  OPEN ACCESS  </w:t>
            </w:r>
          </w:p>
        </w:tc>
      </w:tr>
      <w:tr>
        <w:tc>
          <w:tcPr>
            <w:tcW w:type="dxa" w:w="9360"/>
            <w:tcBorders>
              <w:top w:val="none" w:color="ffffff" w:sz="0"/>
              <w:left w:val="none" w:color="ffffff" w:sz="0"/>
              <w:bottom w:val="none" w:color="ffffff" w:sz="0"/>
              <w:right w:val="none" w:color="ffffff" w:sz="0"/>
            </w:tcBorders>
            <w:shd w:fill="f2f2f2" w:val="clear"/>
            <w:tcMar>
              <w:top w:type="dxa" w:w="0"/>
              <w:left w:type="dxa" w:w="160"/>
              <w:bottom w:type="dxa" w:w="80"/>
              <w:right w:type="dxa" w:w="160"/>
            </w:tcMar>
          </w:tcPr>
          <w:p>
            <w:r>
              <w:rPr>
                <w:rFonts w:ascii="Arial" w:cs="Arial" w:eastAsia="Arial" w:hAnsi="Arial"/>
                <w:b/>
                <w:bCs/>
                <w:color w:val="1a3a5c"/>
                <w:sz w:val="20"/>
                <w:szCs w:val="20"/>
              </w:rPr>
              <w:t xml:space="preserve">Roozenbeek, Jon, and Sander van der Linden. 2019. 'Fake News Game Confers Psychological Resistance against Online Misinformation.' Palgrave Communications 5: 65.</w:t>
            </w:r>
          </w:p>
          <w:p>
            <w:pPr>
              <w:spacing w:before="30"/>
            </w:pPr>
            <w:hyperlink w:history="1" r:id="rIdlgucvn-hivcomwz3al40d">
              <w:r>
                <w:rPr>
                  <w:rStyle w:val="Hyperlink"/>
                  <w:rFonts w:ascii="Arial" w:cs="Arial" w:eastAsia="Arial" w:hAnsi="Arial"/>
                  <w:color w:val="2563a8"/>
                  <w:sz w:val="18"/>
                  <w:szCs w:val="18"/>
                </w:rPr>
                <w:t xml:space="preserve">https://doi.org/10.1057/s41599-019-0279-9</w:t>
              </w:r>
            </w:hyperlink>
          </w:p>
        </w:tc>
      </w:tr>
      <w:tr>
        <w:tc>
          <w:tcPr>
            <w:tcW w:type="dxa" w:w="9360"/>
            <w:tcBorders>
              <w:top w:val="none" w:color="ffffff" w:sz="0"/>
              <w:left w:val="single" w:color="555555"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555555"/>
                <w:spacing w:val="60"/>
                <w:sz w:val="14"/>
                <w:szCs w:val="14"/>
              </w:rPr>
              <w:t xml:space="preserve">WHY THIS READING</w:t>
            </w:r>
          </w:p>
          <w:p>
            <w:r>
              <w:rPr>
                <w:rFonts w:ascii="Arial" w:cs="Arial" w:eastAsia="Arial" w:hAnsi="Arial"/>
                <w:color w:val="1a1a1a"/>
                <w:sz w:val="20"/>
                <w:szCs w:val="20"/>
              </w:rPr>
              <w:t xml:space="preserve">The research paper behind the Bad News game discussed in the Unit 5 case study. Provides the experimental evidence that gamified inoculation produces measurable improvements in misinformation identification. Students working on the case study should read this to understand the research design behind the intervention.</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pre/post experimental design: what exactly was measured before and after playing the game?</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effect size: how large were the improvements in misinformation identification?</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active production element: does producing misinformation provide stronger inoculation than passively identifying it?</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5 Bad News game case study; gamification discussions</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66534" w:val="clear"/>
            <w:tcMar>
              <w:top w:type="dxa" w:w="180"/>
              <w:left w:type="dxa" w:w="360"/>
              <w:bottom w:type="dxa" w:w="180"/>
              <w:right w:type="dxa" w:w="360"/>
            </w:tcMar>
          </w:tcPr>
          <w:p>
            <w:pPr>
              <w:spacing w:after="50"/>
            </w:pPr>
            <w:r>
              <w:rPr>
                <w:rFonts w:ascii="Arial" w:cs="Arial" w:eastAsia="Arial" w:hAnsi="Arial"/>
                <w:b/>
                <w:bCs/>
                <w:color w:val="aaccee"/>
                <w:sz w:val="16"/>
                <w:szCs w:val="16"/>
              </w:rPr>
              <w:t xml:space="preserve">UNIT 6  ·  Weeks 11–12</w:t>
            </w:r>
          </w:p>
          <w:p>
            <w:r>
              <w:rPr>
                <w:rFonts w:ascii="Arial" w:cs="Arial" w:eastAsia="Arial" w:hAnsi="Arial"/>
                <w:b/>
                <w:bCs/>
                <w:color w:val="ffffff"/>
                <w:sz w:val="26"/>
                <w:szCs w:val="26"/>
              </w:rPr>
              <w:t xml:space="preserve">Policy, Institutions &amp; Rebuilding Trust</w:t>
            </w:r>
          </w:p>
        </w:tc>
      </w:tr>
    </w:tbl>
    <w:p>
      <w:pPr>
        <w:spacing w:after="0" w:before="100"/>
      </w:pPr>
      <w:r>
        <w:t xml:space="preserve"/>
      </w:r>
    </w:p>
    <w:p>
      <w:pPr>
        <w:pBdr>
          <w:bottom w:val="single" w:color="0f2642" w:sz="6" w:space="4"/>
        </w:pBdr>
        <w:spacing w:after="80" w:before="240"/>
      </w:pPr>
      <w:r>
        <w:rPr>
          <w:rFonts w:ascii="Arial" w:cs="Arial" w:eastAsia="Arial" w:hAnsi="Arial"/>
          <w:b/>
          <w:bCs/>
          <w:color w:val="0f2642"/>
          <w:sz w:val="22"/>
          <w:szCs w:val="22"/>
        </w:rPr>
        <w:t xml:space="preserve">◆  Required Readings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beafe" w:val="clear"/>
            <w:tcMar>
              <w:top w:type="dxa" w:w="80"/>
              <w:left w:type="dxa" w:w="160"/>
              <w:bottom w:type="dxa" w:w="60"/>
              <w:right w:type="dxa" w:w="160"/>
            </w:tcMar>
          </w:tcPr>
          <w:p>
            <w:r>
              <w:rPr>
                <w:rFonts w:ascii="Arial" w:cs="Arial" w:eastAsia="Arial" w:hAnsi="Arial"/>
                <w:b/>
                <w:bCs/>
                <w:color w:val="2563a8"/>
                <w:sz w:val="18"/>
                <w:szCs w:val="18"/>
              </w:rPr>
              <w:t xml:space="preserve">[23]  </w:t>
            </w:r>
            <w:r>
              <w:rPr>
                <w:rFonts w:ascii="Arial" w:cs="Arial" w:eastAsia="Arial" w:hAnsi="Arial"/>
                <w:b/>
                <w:bCs/>
                <w:color w:val="2563a8"/>
                <w:spacing w:val="60"/>
                <w:sz w:val="14"/>
                <w:szCs w:val="14"/>
              </w:rPr>
              <w:t xml:space="preserve">BOOK</w:t>
            </w:r>
            <w:r>
              <w:t xml:space="preserve">   </w:t>
            </w:r>
            <w:r>
              <w:rPr>
                <w:rFonts w:ascii="Arial" w:cs="Arial" w:eastAsia="Arial" w:hAnsi="Arial"/>
                <w:b/>
                <w:bCs/>
                <w:color w:val="92400e"/>
                <w:spacing w:val="40"/>
                <w:sz w:val="14"/>
                <w:szCs w:val="14"/>
              </w:rPr>
              <w:t xml:space="preserve">  CHECK LIBRARY  </w:t>
            </w:r>
          </w:p>
        </w:tc>
      </w:tr>
      <w:tr>
        <w:tc>
          <w:tcPr>
            <w:tcW w:type="dxa" w:w="9360"/>
            <w:tcBorders>
              <w:top w:val="none" w:color="ffffff" w:sz="0"/>
              <w:left w:val="none" w:color="ffffff" w:sz="0"/>
              <w:bottom w:val="none" w:color="ffffff" w:sz="0"/>
              <w:right w:val="none" w:color="ffffff" w:sz="0"/>
            </w:tcBorders>
            <w:shd w:fill="dbeafe" w:val="clear"/>
            <w:tcMar>
              <w:top w:type="dxa" w:w="0"/>
              <w:left w:type="dxa" w:w="160"/>
              <w:bottom w:type="dxa" w:w="80"/>
              <w:right w:type="dxa" w:w="160"/>
            </w:tcMar>
          </w:tcPr>
          <w:p>
            <w:r>
              <w:rPr>
                <w:rFonts w:ascii="Arial" w:cs="Arial" w:eastAsia="Arial" w:hAnsi="Arial"/>
                <w:b/>
                <w:bCs/>
                <w:color w:val="1a3a5c"/>
                <w:sz w:val="20"/>
                <w:szCs w:val="20"/>
              </w:rPr>
              <w:t xml:space="preserve">Hofer, Barbara K., and Gale M. Sinatra. 2021. Science Denial: Why It Happens and What to Do About It. Oxford: Oxford University Press. Chapters 8–10.</w:t>
            </w:r>
          </w:p>
          <w:p>
            <w:r>
              <w:t xml:space="preserve"/>
            </w:r>
          </w:p>
        </w:tc>
      </w:tr>
      <w:tr>
        <w:tc>
          <w:tcPr>
            <w:tcW w:type="dxa" w:w="9360"/>
            <w:tcBorders>
              <w:top w:val="none" w:color="ffffff" w:sz="0"/>
              <w:left w:val="single" w:color="2563a8"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2563a8"/>
                <w:spacing w:val="60"/>
                <w:sz w:val="14"/>
                <w:szCs w:val="14"/>
              </w:rPr>
              <w:t xml:space="preserve">WHY THIS READING</w:t>
            </w:r>
          </w:p>
          <w:p>
            <w:r>
              <w:rPr>
                <w:rFonts w:ascii="Arial" w:cs="Arial" w:eastAsia="Arial" w:hAnsi="Arial"/>
                <w:color w:val="1a1a1a"/>
                <w:sz w:val="20"/>
                <w:szCs w:val="20"/>
              </w:rPr>
              <w:t xml:space="preserve">The final chapters of Hofer and Sinatra move from psychology to policy and education. Chapter 8 addresses science communication reform; Chapter 9 covers K-12 curriculum; Chapter 10 looks at higher education and public engagement. These chapters provide the most directly pedagogically applicable policy framework in the course readings, with specific recommendations tied to the empirical literature.</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shift from 'deficit model' to 'dialogue model' to 'engagement model': what does each assume about the public?</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Chapter 9's curriculum recommendations: how specific are they? Are they achievable in your context?</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role of epistemic cognition education: what does it mean to teach students how to think about knowledge, not just what to know?</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6 policy brief; Unit 6 discussion on education reform; capstone assignment</w:t>
            </w:r>
          </w:p>
        </w:tc>
      </w:tr>
    </w:tbl>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e0f2f7" w:val="clear"/>
            <w:tcMar>
              <w:top w:type="dxa" w:w="80"/>
              <w:left w:type="dxa" w:w="160"/>
              <w:bottom w:type="dxa" w:w="60"/>
              <w:right w:type="dxa" w:w="160"/>
            </w:tcMar>
          </w:tcPr>
          <w:p>
            <w:r>
              <w:rPr>
                <w:rFonts w:ascii="Arial" w:cs="Arial" w:eastAsia="Arial" w:hAnsi="Arial"/>
                <w:b/>
                <w:bCs/>
                <w:color w:val="0e7490"/>
                <w:sz w:val="18"/>
                <w:szCs w:val="18"/>
              </w:rPr>
              <w:t xml:space="preserve">[24]  </w:t>
            </w:r>
            <w:r>
              <w:rPr>
                <w:rFonts w:ascii="Arial" w:cs="Arial" w:eastAsia="Arial" w:hAnsi="Arial"/>
                <w:b/>
                <w:bCs/>
                <w:color w:val="0e7490"/>
                <w:spacing w:val="60"/>
                <w:sz w:val="14"/>
                <w:szCs w:val="14"/>
              </w:rPr>
              <w:t xml:space="preserve">REPORT / GUIDE</w:t>
            </w:r>
            <w:r>
              <w:t xml:space="preserve">   </w:t>
            </w:r>
            <w:r>
              <w:rPr>
                <w:rFonts w:ascii="Arial" w:cs="Arial" w:eastAsia="Arial" w:hAnsi="Arial"/>
                <w:b/>
                <w:bCs/>
                <w:color w:val="166534"/>
                <w:spacing w:val="40"/>
                <w:sz w:val="14"/>
                <w:szCs w:val="14"/>
              </w:rPr>
              <w:t xml:space="preserve">  OPEN ACCESS  </w:t>
            </w:r>
          </w:p>
        </w:tc>
      </w:tr>
      <w:tr>
        <w:tc>
          <w:tcPr>
            <w:tcW w:type="dxa" w:w="9360"/>
            <w:tcBorders>
              <w:top w:val="none" w:color="ffffff" w:sz="0"/>
              <w:left w:val="none" w:color="ffffff" w:sz="0"/>
              <w:bottom w:val="none" w:color="ffffff" w:sz="0"/>
              <w:right w:val="none" w:color="ffffff" w:sz="0"/>
            </w:tcBorders>
            <w:shd w:fill="e0f2f7" w:val="clear"/>
            <w:tcMar>
              <w:top w:type="dxa" w:w="0"/>
              <w:left w:type="dxa" w:w="160"/>
              <w:bottom w:type="dxa" w:w="80"/>
              <w:right w:type="dxa" w:w="160"/>
            </w:tcMar>
          </w:tcPr>
          <w:p>
            <w:r>
              <w:rPr>
                <w:rFonts w:ascii="Arial" w:cs="Arial" w:eastAsia="Arial" w:hAnsi="Arial"/>
                <w:b/>
                <w:bCs/>
                <w:color w:val="1a3a5c"/>
                <w:sz w:val="20"/>
                <w:szCs w:val="20"/>
              </w:rPr>
              <w:t xml:space="preserve">National Academies of Sciences, Engineering, and Medicine. 2017. Communicating Science Effectively: A Research Agenda. Washington, DC: National Academies Press.</w:t>
            </w:r>
          </w:p>
          <w:p>
            <w:pPr>
              <w:spacing w:before="30"/>
            </w:pPr>
            <w:hyperlink w:history="1" r:id="rIdrw9biu3huxikvduq9muf0">
              <w:r>
                <w:rPr>
                  <w:rStyle w:val="Hyperlink"/>
                  <w:rFonts w:ascii="Arial" w:cs="Arial" w:eastAsia="Arial" w:hAnsi="Arial"/>
                  <w:color w:val="2563a8"/>
                  <w:sz w:val="18"/>
                  <w:szCs w:val="18"/>
                </w:rPr>
                <w:t xml:space="preserve">https://doi.org/10.17226/23674</w:t>
              </w:r>
            </w:hyperlink>
          </w:p>
        </w:tc>
      </w:tr>
      <w:tr>
        <w:tc>
          <w:tcPr>
            <w:tcW w:type="dxa" w:w="9360"/>
            <w:tcBorders>
              <w:top w:val="none" w:color="ffffff" w:sz="0"/>
              <w:left w:val="single" w:color="0e7490"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0e7490"/>
                <w:spacing w:val="60"/>
                <w:sz w:val="14"/>
                <w:szCs w:val="14"/>
              </w:rPr>
              <w:t xml:space="preserve">WHY THIS READING</w:t>
            </w:r>
          </w:p>
          <w:p>
            <w:r>
              <w:rPr>
                <w:rFonts w:ascii="Arial" w:cs="Arial" w:eastAsia="Arial" w:hAnsi="Arial"/>
                <w:color w:val="1a1a1a"/>
                <w:sz w:val="20"/>
                <w:szCs w:val="20"/>
              </w:rPr>
              <w:t xml:space="preserve">The most authoritative synthesis of evidence-based science communication strategies, produced by a committee of leading researchers and communicators. It is freely downloadable from the National Academies Press. The report argues for treating science communication as a professional discipline with its own evidence base, and provides a framework for evaluating communication strategies systematically. Essential reference for the policy brief.</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report's critique of the deficit model: what specific evidence does it cite?</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'research agenda' framing: what does it mean that science communication itself needs more research?</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section on trust: how does the report characterise the relationship between institutional behaviour and public trust?</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communication strategies with the strongest evidence base: which are most relevant to your policy brief context?</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6 policy brief; Unit 6 discussion on institutional reform; capstone reference</w:t>
            </w:r>
          </w:p>
        </w:tc>
      </w:tr>
    </w:tbl>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cfce7" w:val="clear"/>
            <w:tcMar>
              <w:top w:type="dxa" w:w="80"/>
              <w:left w:type="dxa" w:w="160"/>
              <w:bottom w:type="dxa" w:w="60"/>
              <w:right w:type="dxa" w:w="160"/>
            </w:tcMar>
          </w:tcPr>
          <w:p>
            <w:r>
              <w:rPr>
                <w:rFonts w:ascii="Arial" w:cs="Arial" w:eastAsia="Arial" w:hAnsi="Arial"/>
                <w:b/>
                <w:bCs/>
                <w:color w:val="166534"/>
                <w:sz w:val="18"/>
                <w:szCs w:val="18"/>
              </w:rPr>
              <w:t xml:space="preserve">[25]  </w:t>
            </w:r>
            <w:r>
              <w:rPr>
                <w:rFonts w:ascii="Arial" w:cs="Arial" w:eastAsia="Arial" w:hAnsi="Arial"/>
                <w:b/>
                <w:bCs/>
                <w:color w:val="166534"/>
                <w:spacing w:val="60"/>
                <w:sz w:val="14"/>
                <w:szCs w:val="14"/>
              </w:rPr>
              <w:t xml:space="preserve">JOURNAL ARTICLE</w:t>
            </w:r>
            <w:r>
              <w:t xml:space="preserve">   </w:t>
            </w:r>
            <w:r>
              <w:rPr>
                <w:rFonts w:ascii="Arial" w:cs="Arial" w:eastAsia="Arial" w:hAnsi="Arial"/>
                <w:b/>
                <w:bCs/>
                <w:color w:val="92400e"/>
                <w:spacing w:val="40"/>
                <w:sz w:val="14"/>
                <w:szCs w:val="14"/>
              </w:rPr>
              <w:t xml:space="preserve">  CHECK LIBRARY  </w:t>
            </w:r>
          </w:p>
        </w:tc>
      </w:tr>
      <w:tr>
        <w:tc>
          <w:tcPr>
            <w:tcW w:type="dxa" w:w="9360"/>
            <w:tcBorders>
              <w:top w:val="none" w:color="ffffff" w:sz="0"/>
              <w:left w:val="none" w:color="ffffff" w:sz="0"/>
              <w:bottom w:val="none" w:color="ffffff" w:sz="0"/>
              <w:right w:val="none" w:color="ffffff" w:sz="0"/>
            </w:tcBorders>
            <w:shd w:fill="dcfce7" w:val="clear"/>
            <w:tcMar>
              <w:top w:type="dxa" w:w="0"/>
              <w:left w:type="dxa" w:w="160"/>
              <w:bottom w:type="dxa" w:w="80"/>
              <w:right w:type="dxa" w:w="160"/>
            </w:tcMar>
          </w:tcPr>
          <w:p>
            <w:r>
              <w:rPr>
                <w:rFonts w:ascii="Arial" w:cs="Arial" w:eastAsia="Arial" w:hAnsi="Arial"/>
                <w:b/>
                <w:bCs/>
                <w:color w:val="1a3a5c"/>
                <w:sz w:val="20"/>
                <w:szCs w:val="20"/>
              </w:rPr>
              <w:t xml:space="preserve">Kraft, Patrick W., Milton Lodge, and Charles S. Taber. 2015. 'Why People 'Don't Trust the Evidence': Motivated Reasoning and Scientific Consensus.' American Journal of Political Science 59 (2): 369–381.</w:t>
            </w:r>
          </w:p>
          <w:p>
            <w:r>
              <w:t xml:space="preserve"/>
            </w:r>
          </w:p>
        </w:tc>
      </w:tr>
      <w:tr>
        <w:tc>
          <w:tcPr>
            <w:tcW w:type="dxa" w:w="9360"/>
            <w:tcBorders>
              <w:top w:val="none" w:color="ffffff" w:sz="0"/>
              <w:left w:val="single" w:color="166534"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166534"/>
                <w:spacing w:val="60"/>
                <w:sz w:val="14"/>
                <w:szCs w:val="14"/>
              </w:rPr>
              <w:t xml:space="preserve">WHY THIS READING</w:t>
            </w:r>
          </w:p>
          <w:p>
            <w:r>
              <w:rPr>
                <w:rFonts w:ascii="Arial" w:cs="Arial" w:eastAsia="Arial" w:hAnsi="Arial"/>
                <w:color w:val="1a1a1a"/>
                <w:sz w:val="20"/>
                <w:szCs w:val="20"/>
              </w:rPr>
              <w:t xml:space="preserve">Examines how partisan identity mediates trust in scientific institutions, showing that the same scientific evidence is evaluated differently depending on the partisan identity of the messenger and the political valence of the topic. This paper bridges Units 3 and 6: the psychological mechanisms of Unit 3 have direct implications for how we design institutional trust-building strategies.</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motivated reasoning mechanism as applied specifically to institutional trust (not just factual beliefs)</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messenger effects: when does the identity of the scientific institution matter more than its evidence?</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implications for science communication strategy: what does this suggest about who should communicate science on politically charged topics?</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6 discussion on institutional trust; Unit 6 policy brief on trusted intermediaries</w:t>
            </w:r>
          </w:p>
        </w:tc>
      </w:tr>
    </w:tbl>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beafe" w:val="clear"/>
            <w:tcMar>
              <w:top w:type="dxa" w:w="80"/>
              <w:left w:type="dxa" w:w="160"/>
              <w:bottom w:type="dxa" w:w="60"/>
              <w:right w:type="dxa" w:w="160"/>
            </w:tcMar>
          </w:tcPr>
          <w:p>
            <w:r>
              <w:rPr>
                <w:rFonts w:ascii="Arial" w:cs="Arial" w:eastAsia="Arial" w:hAnsi="Arial"/>
                <w:b/>
                <w:bCs/>
                <w:color w:val="2563a8"/>
                <w:sz w:val="18"/>
                <w:szCs w:val="18"/>
              </w:rPr>
              <w:t xml:space="preserve">[26]  </w:t>
            </w:r>
            <w:r>
              <w:rPr>
                <w:rFonts w:ascii="Arial" w:cs="Arial" w:eastAsia="Arial" w:hAnsi="Arial"/>
                <w:b/>
                <w:bCs/>
                <w:color w:val="2563a8"/>
                <w:spacing w:val="60"/>
                <w:sz w:val="14"/>
                <w:szCs w:val="14"/>
              </w:rPr>
              <w:t xml:space="preserve">BOOK</w:t>
            </w:r>
            <w:r>
              <w:t xml:space="preserve">   </w:t>
            </w:r>
            <w:r>
              <w:rPr>
                <w:rFonts w:ascii="Arial" w:cs="Arial" w:eastAsia="Arial" w:hAnsi="Arial"/>
                <w:b/>
                <w:bCs/>
                <w:color w:val="92400e"/>
                <w:spacing w:val="40"/>
                <w:sz w:val="14"/>
                <w:szCs w:val="14"/>
              </w:rPr>
              <w:t xml:space="preserve">  CHECK LIBRARY  </w:t>
            </w:r>
          </w:p>
        </w:tc>
      </w:tr>
      <w:tr>
        <w:tc>
          <w:tcPr>
            <w:tcW w:type="dxa" w:w="9360"/>
            <w:tcBorders>
              <w:top w:val="none" w:color="ffffff" w:sz="0"/>
              <w:left w:val="none" w:color="ffffff" w:sz="0"/>
              <w:bottom w:val="none" w:color="ffffff" w:sz="0"/>
              <w:right w:val="none" w:color="ffffff" w:sz="0"/>
            </w:tcBorders>
            <w:shd w:fill="dbeafe" w:val="clear"/>
            <w:tcMar>
              <w:top w:type="dxa" w:w="0"/>
              <w:left w:type="dxa" w:w="160"/>
              <w:bottom w:type="dxa" w:w="80"/>
              <w:right w:type="dxa" w:w="160"/>
            </w:tcMar>
          </w:tcPr>
          <w:p>
            <w:r>
              <w:rPr>
                <w:rFonts w:ascii="Arial" w:cs="Arial" w:eastAsia="Arial" w:hAnsi="Arial"/>
                <w:b/>
                <w:bCs/>
                <w:color w:val="1a3a5c"/>
                <w:sz w:val="20"/>
                <w:szCs w:val="20"/>
              </w:rPr>
              <w:t xml:space="preserve">Oreskes, Naomi. 2019. Why Trust Science? Princeton: Princeton University Press. Conclusion (full chapter).</w:t>
            </w:r>
          </w:p>
          <w:p>
            <w:r>
              <w:t xml:space="preserve"/>
            </w:r>
          </w:p>
        </w:tc>
      </w:tr>
      <w:tr>
        <w:tc>
          <w:tcPr>
            <w:tcW w:type="dxa" w:w="9360"/>
            <w:tcBorders>
              <w:top w:val="none" w:color="ffffff" w:sz="0"/>
              <w:left w:val="single" w:color="2563a8"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2563a8"/>
                <w:spacing w:val="60"/>
                <w:sz w:val="14"/>
                <w:szCs w:val="14"/>
              </w:rPr>
              <w:t xml:space="preserve">WHY THIS READING</w:t>
            </w:r>
          </w:p>
          <w:p>
            <w:r>
              <w:rPr>
                <w:rFonts w:ascii="Arial" w:cs="Arial" w:eastAsia="Arial" w:hAnsi="Arial"/>
                <w:color w:val="1a1a1a"/>
                <w:sz w:val="20"/>
                <w:szCs w:val="20"/>
              </w:rPr>
              <w:t xml:space="preserve">The capstone philosophical reading for the course. Oreskes argues that science is trustworthy not because it is certain or because scientists are unbiased, but because of the social structure of scientific practice — diversity of perspectives, consensus-building, and the long-run self-correction of the scientific community. This argument directly addresses the antiscience critique that science is 'just another ideology' and provides the philosophical grounding for the institutional reforms discussed in Unit 6.</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Oreskes' positive account of scientific authority: what exactly grounds the trust she recommends?</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'diversity of perspectives' argument: why does having scientists from different backgrounds strengthen rather than weaken scientific consensus?</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How does this account respond to the industry-funded science problem raised in Unit 2?</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Read the conclusion alongside the Introduction you read in Unit 2 — how has your understanding of her argument developed?</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6 capstone discussion; capstone policy brief philosophical grounding</w:t>
            </w:r>
          </w:p>
        </w:tc>
      </w:tr>
    </w:tbl>
    <w:p>
      <w:pPr>
        <w:spacing w:after="0" w:before="80"/>
      </w:pPr>
      <w:r>
        <w:t xml:space="preserve"/>
      </w:r>
    </w:p>
    <w:p>
      <w:pPr>
        <w:pBdr>
          <w:bottom w:val="single" w:color="0f2642" w:sz="6" w:space="4"/>
        </w:pBdr>
        <w:spacing w:after="80" w:before="240"/>
      </w:pPr>
      <w:r>
        <w:rPr>
          <w:rFonts w:ascii="Arial" w:cs="Arial" w:eastAsia="Arial" w:hAnsi="Arial"/>
          <w:b/>
          <w:bCs/>
          <w:color w:val="0f2642"/>
          <w:sz w:val="22"/>
          <w:szCs w:val="22"/>
        </w:rPr>
        <w:t xml:space="preserve">◆  Supplementary Readings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2f2f2" w:val="clear"/>
            <w:tcMar>
              <w:top w:type="dxa" w:w="80"/>
              <w:left w:type="dxa" w:w="160"/>
              <w:bottom w:type="dxa" w:w="60"/>
              <w:right w:type="dxa" w:w="160"/>
            </w:tcMar>
          </w:tcPr>
          <w:p>
            <w:r>
              <w:rPr>
                <w:rFonts w:ascii="Arial" w:cs="Arial" w:eastAsia="Arial" w:hAnsi="Arial"/>
                <w:b/>
                <w:bCs/>
                <w:color w:val="555555"/>
                <w:sz w:val="18"/>
                <w:szCs w:val="18"/>
              </w:rPr>
              <w:t xml:space="preserve">[27]  </w:t>
            </w:r>
            <w:r>
              <w:rPr>
                <w:rFonts w:ascii="Arial" w:cs="Arial" w:eastAsia="Arial" w:hAnsi="Arial"/>
                <w:b/>
                <w:bCs/>
                <w:color w:val="555555"/>
                <w:spacing w:val="60"/>
                <w:sz w:val="14"/>
                <w:szCs w:val="14"/>
              </w:rPr>
              <w:t xml:space="preserve">SUPPLEMENTARY</w:t>
            </w:r>
            <w:r>
              <w:t xml:space="preserve">   </w:t>
            </w:r>
            <w:r>
              <w:rPr>
                <w:rFonts w:ascii="Arial" w:cs="Arial" w:eastAsia="Arial" w:hAnsi="Arial"/>
                <w:b/>
                <w:bCs/>
                <w:color w:val="166534"/>
                <w:spacing w:val="40"/>
                <w:sz w:val="14"/>
                <w:szCs w:val="14"/>
              </w:rPr>
              <w:t xml:space="preserve">  OPEN ACCESS  </w:t>
            </w:r>
          </w:p>
        </w:tc>
      </w:tr>
      <w:tr>
        <w:tc>
          <w:tcPr>
            <w:tcW w:type="dxa" w:w="9360"/>
            <w:tcBorders>
              <w:top w:val="none" w:color="ffffff" w:sz="0"/>
              <w:left w:val="none" w:color="ffffff" w:sz="0"/>
              <w:bottom w:val="none" w:color="ffffff" w:sz="0"/>
              <w:right w:val="none" w:color="ffffff" w:sz="0"/>
            </w:tcBorders>
            <w:shd w:fill="f2f2f2" w:val="clear"/>
            <w:tcMar>
              <w:top w:type="dxa" w:w="0"/>
              <w:left w:type="dxa" w:w="160"/>
              <w:bottom w:type="dxa" w:w="80"/>
              <w:right w:type="dxa" w:w="160"/>
            </w:tcMar>
          </w:tcPr>
          <w:p>
            <w:r>
              <w:rPr>
                <w:rFonts w:ascii="Arial" w:cs="Arial" w:eastAsia="Arial" w:hAnsi="Arial"/>
                <w:b/>
                <w:bCs/>
                <w:color w:val="1a3a5c"/>
                <w:sz w:val="20"/>
                <w:szCs w:val="20"/>
              </w:rPr>
              <w:t xml:space="preserve">Lewandowsky, Stephan, Ullrich K. H. Ecker, and John Cook. 2017. 'Beyond Misinformation: Understanding and Coping with the Post-Truth Era.' Journal of Applied Research in Memory and Cognition 6 (4): 353–369.</w:t>
            </w:r>
          </w:p>
          <w:p>
            <w:pPr>
              <w:spacing w:before="30"/>
            </w:pPr>
            <w:hyperlink w:history="1" r:id="rIdvi4hyjv1qmrsc73il1q5e">
              <w:r>
                <w:rPr>
                  <w:rStyle w:val="Hyperlink"/>
                  <w:rFonts w:ascii="Arial" w:cs="Arial" w:eastAsia="Arial" w:hAnsi="Arial"/>
                  <w:color w:val="2563a8"/>
                  <w:sz w:val="18"/>
                  <w:szCs w:val="18"/>
                </w:rPr>
                <w:t xml:space="preserve">https://doi.org/10.1016/j.jarmac.2017.07.008</w:t>
              </w:r>
            </w:hyperlink>
          </w:p>
        </w:tc>
      </w:tr>
      <w:tr>
        <w:tc>
          <w:tcPr>
            <w:tcW w:type="dxa" w:w="9360"/>
            <w:tcBorders>
              <w:top w:val="none" w:color="ffffff" w:sz="0"/>
              <w:left w:val="single" w:color="555555"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555555"/>
                <w:spacing w:val="60"/>
                <w:sz w:val="14"/>
                <w:szCs w:val="14"/>
              </w:rPr>
              <w:t xml:space="preserve">WHY THIS READING</w:t>
            </w:r>
          </w:p>
          <w:p>
            <w:r>
              <w:rPr>
                <w:rFonts w:ascii="Arial" w:cs="Arial" w:eastAsia="Arial" w:hAnsi="Arial"/>
                <w:color w:val="1a1a1a"/>
                <w:sz w:val="20"/>
                <w:szCs w:val="20"/>
              </w:rPr>
              <w:t xml:space="preserve">A wide-ranging synthesis that connects the post-truth political environment to the psychological and structural factors covered in the course. Particularly useful for students writing policy briefs with a political or media literacy focus. The paper argues that post-truth is not primarily a media phenomenon but a psychological one, with direct implications for what kinds of interventions can work.</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The definition of 'post-truth' the authors use: is it the same as antiscience?</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structural vs. psychological account of post-truth: what interventions does each imply?</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role of social media platforms: how does this paper's account compare to Vosoughi et al.?</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6 policy brief; capstone synthesis</w:t>
            </w:r>
          </w:p>
        </w:tc>
      </w:tr>
    </w:tbl>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2f2f2" w:val="clear"/>
            <w:tcMar>
              <w:top w:type="dxa" w:w="80"/>
              <w:left w:type="dxa" w:w="160"/>
              <w:bottom w:type="dxa" w:w="60"/>
              <w:right w:type="dxa" w:w="160"/>
            </w:tcMar>
          </w:tcPr>
          <w:p>
            <w:r>
              <w:rPr>
                <w:rFonts w:ascii="Arial" w:cs="Arial" w:eastAsia="Arial" w:hAnsi="Arial"/>
                <w:b/>
                <w:bCs/>
                <w:color w:val="555555"/>
                <w:sz w:val="18"/>
                <w:szCs w:val="18"/>
              </w:rPr>
              <w:t xml:space="preserve">[28]  </w:t>
            </w:r>
            <w:r>
              <w:rPr>
                <w:rFonts w:ascii="Arial" w:cs="Arial" w:eastAsia="Arial" w:hAnsi="Arial"/>
                <w:b/>
                <w:bCs/>
                <w:color w:val="555555"/>
                <w:spacing w:val="60"/>
                <w:sz w:val="14"/>
                <w:szCs w:val="14"/>
              </w:rPr>
              <w:t xml:space="preserve">SUPPLEMENTARY</w:t>
            </w:r>
            <w:r>
              <w:t xml:space="preserve">   </w:t>
            </w:r>
            <w:r>
              <w:rPr>
                <w:rFonts w:ascii="Arial" w:cs="Arial" w:eastAsia="Arial" w:hAnsi="Arial"/>
                <w:b/>
                <w:bCs/>
                <w:color w:val="166534"/>
                <w:spacing w:val="40"/>
                <w:sz w:val="14"/>
                <w:szCs w:val="14"/>
              </w:rPr>
              <w:t xml:space="preserve">  OPEN ACCESS  </w:t>
            </w:r>
          </w:p>
        </w:tc>
      </w:tr>
      <w:tr>
        <w:tc>
          <w:tcPr>
            <w:tcW w:type="dxa" w:w="9360"/>
            <w:tcBorders>
              <w:top w:val="none" w:color="ffffff" w:sz="0"/>
              <w:left w:val="none" w:color="ffffff" w:sz="0"/>
              <w:bottom w:val="none" w:color="ffffff" w:sz="0"/>
              <w:right w:val="none" w:color="ffffff" w:sz="0"/>
            </w:tcBorders>
            <w:shd w:fill="f2f2f2" w:val="clear"/>
            <w:tcMar>
              <w:top w:type="dxa" w:w="0"/>
              <w:left w:type="dxa" w:w="160"/>
              <w:bottom w:type="dxa" w:w="80"/>
              <w:right w:type="dxa" w:w="160"/>
            </w:tcMar>
          </w:tcPr>
          <w:p>
            <w:r>
              <w:rPr>
                <w:rFonts w:ascii="Arial" w:cs="Arial" w:eastAsia="Arial" w:hAnsi="Arial"/>
                <w:b/>
                <w:bCs/>
                <w:color w:val="1a3a5c"/>
                <w:sz w:val="20"/>
                <w:szCs w:val="20"/>
              </w:rPr>
              <w:t xml:space="preserve">Cook, John. 2019. 'Cranky Uncle vs. Climate Change: How to Understand and Respond to Climate Science Denial.' Skeptical Science. Available at crankyuncle.com.</w:t>
            </w:r>
          </w:p>
          <w:p>
            <w:pPr>
              <w:spacing w:before="30"/>
            </w:pPr>
            <w:hyperlink w:history="1" r:id="rIdykvzgetvnf2g3pn1yygx6">
              <w:r>
                <w:rPr>
                  <w:rStyle w:val="Hyperlink"/>
                  <w:rFonts w:ascii="Arial" w:cs="Arial" w:eastAsia="Arial" w:hAnsi="Arial"/>
                  <w:color w:val="2563a8"/>
                  <w:sz w:val="18"/>
                  <w:szCs w:val="18"/>
                </w:rPr>
                <w:t xml:space="preserve">https://crankyuncle.com</w:t>
              </w:r>
            </w:hyperlink>
          </w:p>
        </w:tc>
      </w:tr>
      <w:tr>
        <w:tc>
          <w:tcPr>
            <w:tcW w:type="dxa" w:w="9360"/>
            <w:tcBorders>
              <w:top w:val="none" w:color="ffffff" w:sz="0"/>
              <w:left w:val="single" w:color="555555" w:sz="12"/>
              <w:bottom w:val="none" w:color="ffffff" w:sz="0"/>
              <w:right w:val="none" w:color="ffffff" w:sz="0"/>
            </w:tcBorders>
            <w:shd w:fill="ffffff" w:val="clear"/>
            <w:tcMar>
              <w:top w:type="dxa" w:w="80"/>
              <w:left w:type="dxa" w:w="160"/>
              <w:bottom w:type="dxa" w:w="40"/>
              <w:right w:type="dxa" w:w="160"/>
            </w:tcMar>
          </w:tcPr>
          <w:p>
            <w:pPr>
              <w:spacing w:after="40"/>
            </w:pPr>
            <w:r>
              <w:rPr>
                <w:rFonts w:ascii="Arial" w:cs="Arial" w:eastAsia="Arial" w:hAnsi="Arial"/>
                <w:b/>
                <w:bCs/>
                <w:color w:val="555555"/>
                <w:spacing w:val="60"/>
                <w:sz w:val="14"/>
                <w:szCs w:val="14"/>
              </w:rPr>
              <w:t xml:space="preserve">WHY THIS READING</w:t>
            </w:r>
          </w:p>
          <w:p>
            <w:r>
              <w:rPr>
                <w:rFonts w:ascii="Arial" w:cs="Arial" w:eastAsia="Arial" w:hAnsi="Arial"/>
                <w:color w:val="1a1a1a"/>
                <w:sz w:val="20"/>
                <w:szCs w:val="20"/>
              </w:rPr>
              <w:t xml:space="preserve">The Cranky Uncle book and companion game provide a gamified implementation of the FLICC framework accessible to non-specialist audiences. Recommended as a supplementary resource for students designing educational interventions as part of their policy brief, particularly those working in K-12 or public engagement contexts.</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pPr>
              <w:spacing w:after="30" w:before="80"/>
            </w:pPr>
            <w:r>
              <w:rPr>
                <w:rFonts w:ascii="Arial" w:cs="Arial" w:eastAsia="Arial" w:hAnsi="Arial"/>
                <w:b/>
                <w:bCs/>
                <w:color w:val="555555"/>
                <w:spacing w:val="60"/>
                <w:sz w:val="14"/>
                <w:szCs w:val="14"/>
              </w:rPr>
              <w:t xml:space="preserve">WHAT TO LOOK FOR</w:t>
            </w:r>
          </w:p>
          <w:p>
            <w:pPr>
              <w:pStyle w:val="ListParagraph"/>
              <w:numPr>
                <w:ilvl w:val="0"/>
                <w:numId w:val="2"/>
              </w:numPr>
              <w:spacing w:after="20" w:before="20"/>
            </w:pPr>
            <w:r>
              <w:rPr>
                <w:rFonts w:ascii="Arial" w:cs="Arial" w:eastAsia="Arial" w:hAnsi="Arial"/>
                <w:color w:val="1a1a1a"/>
                <w:sz w:val="20"/>
                <w:szCs w:val="20"/>
              </w:rPr>
              <w:t xml:space="preserve">How does the Cranky Uncle approach translate the FLICC framework for a non-specialist audience?</w:t>
            </w:r>
          </w:p>
        </w:tc>
      </w:tr>
      <w:tr>
        <w:tc>
          <w:tcPr>
            <w:tcW w:type="dxa" w:w="9360"/>
            <w:tcBorders>
              <w:top w:val="none" w:color="ffffff" w:sz="0"/>
              <w:left w:val="none" w:color="ffffff" w:sz="0"/>
              <w:bottom w:val="none" w:color="ffffff" w:sz="0"/>
              <w:right w:val="none" w:color="ffffff" w:sz="0"/>
            </w:tcBorders>
            <w:shd w:fill="ffffff"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The game mechanics: what specific design choices are intended to produce inoculation effects?</w:t>
            </w:r>
          </w:p>
        </w:tc>
      </w:tr>
      <w:tr>
        <w:tc>
          <w:tcPr>
            <w:tcW w:type="dxa" w:w="9360"/>
            <w:tcBorders>
              <w:top w:val="none" w:color="ffffff" w:sz="0"/>
              <w:left w:val="none" w:color="ffffff" w:sz="0"/>
              <w:bottom w:val="none" w:color="ffffff" w:sz="0"/>
              <w:right w:val="none" w:color="ffffff" w:sz="0"/>
            </w:tcBorders>
            <w:shd w:fill="f2f2f2" w:val="clear"/>
            <w:tcMar>
              <w:top w:type="dxa" w:w="40"/>
              <w:left w:type="dxa" w:w="160"/>
              <w:bottom w:type="dxa" w:w="40"/>
              <w:right w:type="dxa" w:w="160"/>
            </w:tcMar>
          </w:tcPr>
          <w:p>
            <w:r>
              <w:t xml:space="preserve"/>
            </w:r>
          </w:p>
          <w:p>
            <w:pPr>
              <w:pStyle w:val="ListParagraph"/>
              <w:numPr>
                <w:ilvl w:val="0"/>
                <w:numId w:val="2"/>
              </w:numPr>
              <w:spacing w:after="20" w:before="20"/>
            </w:pPr>
            <w:r>
              <w:rPr>
                <w:rFonts w:ascii="Arial" w:cs="Arial" w:eastAsia="Arial" w:hAnsi="Arial"/>
                <w:color w:val="1a1a1a"/>
                <w:sz w:val="20"/>
                <w:szCs w:val="20"/>
              </w:rPr>
              <w:t xml:space="preserve">How could this resource be adapted for your own educational or professional context?</w:t>
            </w:r>
          </w:p>
        </w:tc>
      </w:tr>
      <w:tr>
        <w:tc>
          <w:tcPr>
            <w:tcW w:type="dxa" w:w="9360"/>
            <w:tcBorders>
              <w:top w:val="none" w:color="ffffff" w:sz="0"/>
              <w:left w:val="none" w:color="ffffff" w:sz="0"/>
              <w:bottom w:val="none" w:color="ffffff" w:sz="0"/>
              <w:right w:val="none" w:color="ffffff" w:sz="0"/>
            </w:tcBorders>
            <w:shd w:fill="dbeafe" w:val="clear"/>
            <w:tcMar>
              <w:top w:type="dxa" w:w="60"/>
              <w:left w:type="dxa" w:w="160"/>
              <w:bottom w:type="dxa" w:w="80"/>
              <w:right w:type="dxa" w:w="160"/>
            </w:tcMar>
          </w:tcPr>
          <w:p>
            <w:pPr>
              <w:spacing w:after="20"/>
            </w:pPr>
            <w:r>
              <w:rPr>
                <w:rFonts w:ascii="Arial" w:cs="Arial" w:eastAsia="Arial" w:hAnsi="Arial"/>
                <w:b/>
                <w:bCs/>
                <w:color w:val="2563a8"/>
                <w:spacing w:val="60"/>
                <w:sz w:val="14"/>
                <w:szCs w:val="14"/>
              </w:rPr>
              <w:t xml:space="preserve">CONNECTS TO</w:t>
            </w:r>
          </w:p>
          <w:p>
            <w:r>
              <w:rPr>
                <w:rFonts w:ascii="Arial" w:cs="Arial" w:eastAsia="Arial" w:hAnsi="Arial"/>
                <w:i/>
                <w:iCs/>
                <w:color w:val="1a3a5c"/>
                <w:sz w:val="20"/>
                <w:szCs w:val="20"/>
              </w:rPr>
              <w:t xml:space="preserve">Unit 5 inoculation design; capstone policy brief on educational interventions</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1a1a" w:val="clear"/>
            <w:tcMar>
              <w:top w:type="dxa" w:w="200"/>
              <w:left w:type="dxa" w:w="360"/>
              <w:bottom w:type="dxa" w:w="200"/>
              <w:right w:type="dxa" w:w="360"/>
            </w:tcMar>
          </w:tcPr>
          <w:p>
            <w:pPr>
              <w:spacing w:after="40"/>
            </w:pPr>
            <w:r>
              <w:rPr>
                <w:rFonts w:ascii="Arial" w:cs="Arial" w:eastAsia="Arial" w:hAnsi="Arial"/>
                <w:b/>
                <w:bCs/>
                <w:color w:val="d4a017"/>
                <w:spacing w:val="100"/>
                <w:sz w:val="16"/>
                <w:szCs w:val="16"/>
              </w:rPr>
              <w:t xml:space="preserve">MASTER BIBLIOGRAPHY</w:t>
            </w:r>
          </w:p>
          <w:p>
            <w:r>
              <w:rPr>
                <w:rFonts w:ascii="Arial" w:cs="Arial" w:eastAsia="Arial" w:hAnsi="Arial"/>
                <w:b/>
                <w:bCs/>
                <w:color w:val="ffffff"/>
                <w:sz w:val="22"/>
                <w:szCs w:val="22"/>
              </w:rPr>
              <w:t xml:space="preserve">All course readings in Chicago author-date format</w:t>
            </w:r>
          </w:p>
        </w:tc>
      </w:tr>
    </w:tbl>
    <w:p>
      <w:pPr>
        <w:spacing w:after="0" w:before="120"/>
      </w:pPr>
      <w:r>
        <w:t xml:space="preserve"/>
      </w:r>
    </w:p>
    <w:p>
      <w:pPr>
        <w:spacing w:after="60" w:before="60"/>
      </w:pPr>
      <w:r>
        <w:rPr>
          <w:rFonts w:ascii="Arial" w:cs="Arial" w:eastAsia="Arial" w:hAnsi="Arial"/>
          <w:i/>
          <w:iCs/>
          <w:color w:val="555555"/>
          <w:sz w:val="20"/>
          <w:szCs w:val="20"/>
        </w:rPr>
        <w:t xml:space="preserve">The following bibliography lists all required and supplementary readings in Chicago author-date format, suitable for use in your policy brief and other course assignments.</w:t>
      </w:r>
    </w:p>
    <w:p>
      <w:pPr>
        <w:spacing w:after="0" w:before="80"/>
      </w:pPr>
      <w:r>
        <w:t xml:space="preserve"/>
      </w:r>
    </w:p>
    <w:p>
      <w:pPr>
        <w:pBdr>
          <w:bottom w:val="single" w:color="2563a8" w:sz="4" w:space="3"/>
        </w:pBdr>
        <w:spacing w:after="60" w:before="160"/>
      </w:pPr>
      <w:r>
        <w:rPr>
          <w:rFonts w:ascii="Arial" w:cs="Arial" w:eastAsia="Arial" w:hAnsi="Arial"/>
          <w:b/>
          <w:bCs/>
          <w:color w:val="0f2642"/>
          <w:sz w:val="22"/>
          <w:szCs w:val="22"/>
        </w:rPr>
        <w:t xml:space="preserve">Books</w:t>
      </w:r>
    </w:p>
    <w:p>
      <w:pPr>
        <w:spacing w:after="0" w:before="40"/>
      </w:pPr>
      <w:r>
        <w:t xml:space="preserve"/>
      </w:r>
    </w:p>
    <w:p>
      <w:pPr>
        <w:spacing w:after="40" w:before="40"/>
        <w:ind w:left="360" w:hanging="360"/>
      </w:pPr>
      <w:r>
        <w:rPr>
          <w:rFonts w:ascii="Arial" w:cs="Arial" w:eastAsia="Arial" w:hAnsi="Arial"/>
          <w:color w:val="1a1a1a"/>
          <w:sz w:val="18"/>
          <w:szCs w:val="18"/>
        </w:rPr>
        <w:t xml:space="preserve">Benkler, Yochai, Robert Faris, and Hal Roberts. 2018. Network Propaganda: Manipulation, Disinformation, and Radicalization in American Politics. Oxford: Oxford University Press. Open access: networkpropaganda.org</w:t>
      </w:r>
    </w:p>
    <w:p>
      <w:pPr>
        <w:spacing w:after="40" w:before="40"/>
        <w:ind w:left="360" w:hanging="360"/>
      </w:pPr>
      <w:r>
        <w:rPr>
          <w:rFonts w:ascii="Arial" w:cs="Arial" w:eastAsia="Arial" w:hAnsi="Arial"/>
          <w:color w:val="1a1a1a"/>
          <w:sz w:val="18"/>
          <w:szCs w:val="18"/>
        </w:rPr>
        <w:t xml:space="preserve">Berman, Jonathan M. 2020. Anti/Vax: Reframing the Vaccination Controversy. Ithaca: Cornell University Press.</w:t>
      </w:r>
    </w:p>
    <w:p>
      <w:pPr>
        <w:spacing w:after="40" w:before="40"/>
        <w:ind w:left="360" w:hanging="360"/>
      </w:pPr>
      <w:r>
        <w:rPr>
          <w:rFonts w:ascii="Arial" w:cs="Arial" w:eastAsia="Arial" w:hAnsi="Arial"/>
          <w:color w:val="1a1a1a"/>
          <w:sz w:val="18"/>
          <w:szCs w:val="18"/>
        </w:rPr>
        <w:t xml:space="preserve">Hofer, Barbara K., and Gale M. Sinatra. 2021. Science Denial: Why It Happens and What to Do About It. Oxford: Oxford University Press.</w:t>
      </w:r>
    </w:p>
    <w:p>
      <w:pPr>
        <w:spacing w:after="40" w:before="40"/>
        <w:ind w:left="360" w:hanging="360"/>
      </w:pPr>
      <w:r>
        <w:rPr>
          <w:rFonts w:ascii="Arial" w:cs="Arial" w:eastAsia="Arial" w:hAnsi="Arial"/>
          <w:color w:val="1a1a1a"/>
          <w:sz w:val="18"/>
          <w:szCs w:val="18"/>
        </w:rPr>
        <w:t xml:space="preserve">Kahneman, Daniel. 2011. Thinking, Fast and Slow. New York: Farrar, Straus and Giroux.</w:t>
      </w:r>
    </w:p>
    <w:p>
      <w:pPr>
        <w:spacing w:after="40" w:before="40"/>
        <w:ind w:left="360" w:hanging="360"/>
      </w:pPr>
      <w:r>
        <w:rPr>
          <w:rFonts w:ascii="Arial" w:cs="Arial" w:eastAsia="Arial" w:hAnsi="Arial"/>
          <w:color w:val="1a1a1a"/>
          <w:sz w:val="18"/>
          <w:szCs w:val="18"/>
        </w:rPr>
        <w:t xml:space="preserve">Lewandowsky, Stephan, John Cook, Ullrich Ecker, et al. 2020. The Debunking Handbook 2020. debunkinhandbook.org</w:t>
      </w:r>
    </w:p>
    <w:p>
      <w:pPr>
        <w:spacing w:after="40" w:before="40"/>
        <w:ind w:left="360" w:hanging="360"/>
      </w:pPr>
      <w:r>
        <w:rPr>
          <w:rFonts w:ascii="Arial" w:cs="Arial" w:eastAsia="Arial" w:hAnsi="Arial"/>
          <w:color w:val="1a1a1a"/>
          <w:sz w:val="18"/>
          <w:szCs w:val="18"/>
        </w:rPr>
        <w:t xml:space="preserve">Michaels, David. 2008. Doubt Is Their Product: How Industry's Assault on Science Threatens Your Health. Oxford: Oxford University Press.</w:t>
      </w:r>
    </w:p>
    <w:p>
      <w:pPr>
        <w:spacing w:after="40" w:before="40"/>
        <w:ind w:left="360" w:hanging="360"/>
      </w:pPr>
      <w:r>
        <w:rPr>
          <w:rFonts w:ascii="Arial" w:cs="Arial" w:eastAsia="Arial" w:hAnsi="Arial"/>
          <w:color w:val="1a1a1a"/>
          <w:sz w:val="18"/>
          <w:szCs w:val="18"/>
        </w:rPr>
        <w:t xml:space="preserve">O'Connor, Cailin, and James Owen Weatherall. 2019. The Misinformation Age: How False Beliefs Spread. New Haven: Yale University Press.</w:t>
      </w:r>
    </w:p>
    <w:p>
      <w:pPr>
        <w:spacing w:after="40" w:before="40"/>
        <w:ind w:left="360" w:hanging="360"/>
      </w:pPr>
      <w:r>
        <w:rPr>
          <w:rFonts w:ascii="Arial" w:cs="Arial" w:eastAsia="Arial" w:hAnsi="Arial"/>
          <w:color w:val="1a1a1a"/>
          <w:sz w:val="18"/>
          <w:szCs w:val="18"/>
        </w:rPr>
        <w:t xml:space="preserve">Oreskes, Naomi. 2019. Why Trust Science? Princeton: Princeton University Press.</w:t>
      </w:r>
    </w:p>
    <w:p>
      <w:pPr>
        <w:spacing w:after="40" w:before="40"/>
        <w:ind w:left="360" w:hanging="360"/>
      </w:pPr>
      <w:r>
        <w:rPr>
          <w:rFonts w:ascii="Arial" w:cs="Arial" w:eastAsia="Arial" w:hAnsi="Arial"/>
          <w:color w:val="1a1a1a"/>
          <w:sz w:val="18"/>
          <w:szCs w:val="18"/>
        </w:rPr>
        <w:t xml:space="preserve">Oreskes, Naomi, and Erik M. Conway. 2010. Merchants of Doubt: How a Handful of Scientists Obscured the Truth on Issues from Tobacco Smoke to Global Warming. New York: Bloomsbury Press.</w:t>
      </w:r>
    </w:p>
    <w:p>
      <w:pPr>
        <w:spacing w:after="40" w:before="40"/>
        <w:ind w:left="360" w:hanging="360"/>
      </w:pPr>
      <w:r>
        <w:rPr>
          <w:rFonts w:ascii="Arial" w:cs="Arial" w:eastAsia="Arial" w:hAnsi="Arial"/>
          <w:color w:val="1a1a1a"/>
          <w:sz w:val="18"/>
          <w:szCs w:val="18"/>
        </w:rPr>
        <w:t xml:space="preserve">Popper, Karl. 1963. Conjectures and Refutations: The Growth of Scientific Knowledge. London: Routledge.</w:t>
      </w:r>
    </w:p>
    <w:p>
      <w:pPr>
        <w:spacing w:after="40" w:before="40"/>
        <w:ind w:left="360" w:hanging="360"/>
      </w:pPr>
      <w:r>
        <w:rPr>
          <w:rFonts w:ascii="Arial" w:cs="Arial" w:eastAsia="Arial" w:hAnsi="Arial"/>
          <w:color w:val="1a1a1a"/>
          <w:sz w:val="18"/>
          <w:szCs w:val="18"/>
        </w:rPr>
        <w:t xml:space="preserve">Proctor, Robert N. 2011. Golden Holocaust: Origins of the Cigarette Catastrophe and the Case for Abolition. Berkeley: University of California Press.</w:t>
      </w:r>
    </w:p>
    <w:p>
      <w:pPr>
        <w:spacing w:after="40" w:before="40"/>
        <w:ind w:left="360" w:hanging="360"/>
      </w:pPr>
      <w:r>
        <w:rPr>
          <w:rFonts w:ascii="Arial" w:cs="Arial" w:eastAsia="Arial" w:hAnsi="Arial"/>
          <w:color w:val="1a1a1a"/>
          <w:sz w:val="18"/>
          <w:szCs w:val="18"/>
        </w:rPr>
        <w:t xml:space="preserve">Sagan, Carl. 1995. The Demon-Haunted World: Science as a Candle in the Dark. New York: Random House.</w:t>
      </w:r>
    </w:p>
    <w:p>
      <w:pPr>
        <w:spacing w:after="0" w:before="80"/>
      </w:pPr>
      <w:r>
        <w:t xml:space="preserve"/>
      </w:r>
    </w:p>
    <w:p>
      <w:pPr>
        <w:pBdr>
          <w:bottom w:val="single" w:color="2563a8" w:sz="4" w:space="3"/>
        </w:pBdr>
        <w:spacing w:after="60" w:before="120"/>
      </w:pPr>
      <w:r>
        <w:rPr>
          <w:rFonts w:ascii="Arial" w:cs="Arial" w:eastAsia="Arial" w:hAnsi="Arial"/>
          <w:b/>
          <w:bCs/>
          <w:color w:val="0f2642"/>
          <w:sz w:val="22"/>
          <w:szCs w:val="22"/>
        </w:rPr>
        <w:t xml:space="preserve">Journal Articles</w:t>
      </w:r>
    </w:p>
    <w:p>
      <w:pPr>
        <w:spacing w:after="0" w:before="40"/>
      </w:pPr>
      <w:r>
        <w:t xml:space="preserve"/>
      </w:r>
    </w:p>
    <w:p>
      <w:pPr>
        <w:spacing w:after="40" w:before="40"/>
        <w:ind w:left="360" w:hanging="360"/>
      </w:pPr>
      <w:r>
        <w:rPr>
          <w:rFonts w:ascii="Arial" w:cs="Arial" w:eastAsia="Arial" w:hAnsi="Arial"/>
          <w:color w:val="1a1a1a"/>
          <w:sz w:val="18"/>
          <w:szCs w:val="18"/>
        </w:rPr>
        <w:t xml:space="preserve">Cook, John, Stephan Lewandowsky, and Ullrich K. H. Ecker. 2017. 'Neutralizing Misinformation through Inoculation: Exposing Misleading Argumentation Techniques Reduces Their Influence.' PLOS ONE 12 (5): e0175799. doi:10.1371/journal.pone.0175799</w:t>
      </w:r>
    </w:p>
    <w:p>
      <w:pPr>
        <w:spacing w:after="40" w:before="40"/>
        <w:ind w:left="360" w:hanging="360"/>
      </w:pPr>
      <w:r>
        <w:rPr>
          <w:rFonts w:ascii="Arial" w:cs="Arial" w:eastAsia="Arial" w:hAnsi="Arial"/>
          <w:color w:val="1a1a1a"/>
          <w:sz w:val="18"/>
          <w:szCs w:val="18"/>
        </w:rPr>
        <w:t xml:space="preserve">Diethelm, Pascal, and Martin McKee. 2009. 'Denialism: What Is It and How Should Scientists Respond?' European Journal of Public Health 19 (1): 2–4. doi:10.1093/eurpub/ckn139</w:t>
      </w:r>
    </w:p>
    <w:p>
      <w:pPr>
        <w:spacing w:after="40" w:before="40"/>
        <w:ind w:left="360" w:hanging="360"/>
      </w:pPr>
      <w:r>
        <w:rPr>
          <w:rFonts w:ascii="Arial" w:cs="Arial" w:eastAsia="Arial" w:hAnsi="Arial"/>
          <w:color w:val="1a1a1a"/>
          <w:sz w:val="18"/>
          <w:szCs w:val="18"/>
        </w:rPr>
        <w:t xml:space="preserve">Kahan, Dan M., Ellen Peters, Maggie Wittlin, Paul Slovic, Lisa Larrimore Ouellette, Donald Braman, and Gregory Mandel. 2012. 'The Polarizing Impact of Science Literacy and Numeracy on Perceived Climate Change Risks.' Nature Climate Change 2: 732–735.</w:t>
      </w:r>
    </w:p>
    <w:p>
      <w:pPr>
        <w:spacing w:after="40" w:before="40"/>
        <w:ind w:left="360" w:hanging="360"/>
      </w:pPr>
      <w:r>
        <w:rPr>
          <w:rFonts w:ascii="Arial" w:cs="Arial" w:eastAsia="Arial" w:hAnsi="Arial"/>
          <w:color w:val="1a1a1a"/>
          <w:sz w:val="18"/>
          <w:szCs w:val="18"/>
        </w:rPr>
        <w:t xml:space="preserve">Kraft, Patrick W., Milton Lodge, and Charles S. Taber. 2015. 'Why People Don't Trust the Evidence: Motivated Reasoning and Scientific Consensus.' American Journal of Political Science 59 (2): 369–381.</w:t>
      </w:r>
    </w:p>
    <w:p>
      <w:pPr>
        <w:spacing w:after="40" w:before="40"/>
        <w:ind w:left="360" w:hanging="360"/>
      </w:pPr>
      <w:r>
        <w:rPr>
          <w:rFonts w:ascii="Arial" w:cs="Arial" w:eastAsia="Arial" w:hAnsi="Arial"/>
          <w:color w:val="1a1a1a"/>
          <w:sz w:val="18"/>
          <w:szCs w:val="18"/>
        </w:rPr>
        <w:t xml:space="preserve">Lewandowsky, Stephan, Ullrich K. H. Ecker, and John Cook. 2017. 'Beyond Misinformation: Understanding and Coping with the Post-Truth Era.' Journal of Applied Research in Memory and Cognition 6 (4): 353–369.</w:t>
      </w:r>
    </w:p>
    <w:p>
      <w:pPr>
        <w:spacing w:after="40" w:before="40"/>
        <w:ind w:left="360" w:hanging="360"/>
      </w:pPr>
      <w:r>
        <w:rPr>
          <w:rFonts w:ascii="Arial" w:cs="Arial" w:eastAsia="Arial" w:hAnsi="Arial"/>
          <w:color w:val="1a1a1a"/>
          <w:sz w:val="18"/>
          <w:szCs w:val="18"/>
        </w:rPr>
        <w:t xml:space="preserve">Nyhan, Brendan, and Jason Reifler. 2010. 'When Corrections Fail: The Persistence of Political Misperceptions.' Political Behavior 32 (2): 303–330.</w:t>
      </w:r>
    </w:p>
    <w:p>
      <w:pPr>
        <w:spacing w:after="40" w:before="40"/>
        <w:ind w:left="360" w:hanging="360"/>
      </w:pPr>
      <w:r>
        <w:rPr>
          <w:rFonts w:ascii="Arial" w:cs="Arial" w:eastAsia="Arial" w:hAnsi="Arial"/>
          <w:color w:val="1a1a1a"/>
          <w:sz w:val="18"/>
          <w:szCs w:val="18"/>
        </w:rPr>
        <w:t xml:space="preserve">Oreskes, Naomi. 2004. 'The Scientific Consensus on Climate Change.' Science 306 (5702): 1686.</w:t>
      </w:r>
    </w:p>
    <w:p>
      <w:pPr>
        <w:spacing w:after="40" w:before="40"/>
        <w:ind w:left="360" w:hanging="360"/>
      </w:pPr>
      <w:r>
        <w:rPr>
          <w:rFonts w:ascii="Arial" w:cs="Arial" w:eastAsia="Arial" w:hAnsi="Arial"/>
          <w:color w:val="1a1a1a"/>
          <w:sz w:val="18"/>
          <w:szCs w:val="18"/>
        </w:rPr>
        <w:t xml:space="preserve">Pennycook, Gordon, and David G. Rand. 2019. 'Lazy, Not Biased: Susceptibility to Partisan Fake News Is Better Explained by Lack of Reasoning Than Motivated Reasoning.' Cognition 188: 39–50.</w:t>
      </w:r>
    </w:p>
    <w:p>
      <w:pPr>
        <w:spacing w:after="40" w:before="40"/>
        <w:ind w:left="360" w:hanging="360"/>
      </w:pPr>
      <w:r>
        <w:rPr>
          <w:rFonts w:ascii="Arial" w:cs="Arial" w:eastAsia="Arial" w:hAnsi="Arial"/>
          <w:color w:val="1a1a1a"/>
          <w:sz w:val="18"/>
          <w:szCs w:val="18"/>
        </w:rPr>
        <w:t xml:space="preserve">Roozenbeek, Jon, and Sander van der Linden. 2019. 'Fake News Game Confers Psychological Resistance against Online Misinformation.' Palgrave Communications 5: 65.</w:t>
      </w:r>
    </w:p>
    <w:p>
      <w:pPr>
        <w:spacing w:after="40" w:before="40"/>
        <w:ind w:left="360" w:hanging="360"/>
      </w:pPr>
      <w:r>
        <w:rPr>
          <w:rFonts w:ascii="Arial" w:cs="Arial" w:eastAsia="Arial" w:hAnsi="Arial"/>
          <w:color w:val="1a1a1a"/>
          <w:sz w:val="18"/>
          <w:szCs w:val="18"/>
        </w:rPr>
        <w:t xml:space="preserve">van der Linden, Sander, Anthony Leiserowitz, Seth Rosenthal, and Edward Maibach. 2017. 'Inoculating the Public against Misinformation about Climate Change.' Global Challenges 1 (2): 1600008.</w:t>
      </w:r>
    </w:p>
    <w:p>
      <w:pPr>
        <w:spacing w:after="40" w:before="40"/>
        <w:ind w:left="360" w:hanging="360"/>
      </w:pPr>
      <w:r>
        <w:rPr>
          <w:rFonts w:ascii="Arial" w:cs="Arial" w:eastAsia="Arial" w:hAnsi="Arial"/>
          <w:color w:val="1a1a1a"/>
          <w:sz w:val="18"/>
          <w:szCs w:val="18"/>
        </w:rPr>
        <w:t xml:space="preserve">Vosoughi, Soroush, Deb Roy, and Sinan Aral. 2018. 'The Spread of True and False News Online.' Science 359 (6380): 1146–1151.</w:t>
      </w:r>
    </w:p>
    <w:p>
      <w:pPr>
        <w:spacing w:after="0" w:before="80"/>
      </w:pPr>
      <w:r>
        <w:t xml:space="preserve"/>
      </w:r>
    </w:p>
    <w:p>
      <w:pPr>
        <w:pBdr>
          <w:bottom w:val="single" w:color="2563a8" w:sz="4" w:space="3"/>
        </w:pBdr>
        <w:spacing w:after="60" w:before="120"/>
      </w:pPr>
      <w:r>
        <w:rPr>
          <w:rFonts w:ascii="Arial" w:cs="Arial" w:eastAsia="Arial" w:hAnsi="Arial"/>
          <w:b/>
          <w:bCs/>
          <w:color w:val="0f2642"/>
          <w:sz w:val="22"/>
          <w:szCs w:val="22"/>
        </w:rPr>
        <w:t xml:space="preserve">Reports &amp; Handbooks</w:t>
      </w:r>
    </w:p>
    <w:p>
      <w:pPr>
        <w:spacing w:after="0" w:before="40"/>
      </w:pPr>
      <w:r>
        <w:t xml:space="preserve"/>
      </w:r>
    </w:p>
    <w:p>
      <w:pPr>
        <w:spacing w:after="40" w:before="40"/>
        <w:ind w:left="360" w:hanging="360"/>
      </w:pPr>
      <w:r>
        <w:rPr>
          <w:rFonts w:ascii="Arial" w:cs="Arial" w:eastAsia="Arial" w:hAnsi="Arial"/>
          <w:color w:val="1a1a1a"/>
          <w:sz w:val="18"/>
          <w:szCs w:val="18"/>
        </w:rPr>
        <w:t xml:space="preserve">National Academies of Sciences, Engineering, and Medicine. 2017. Communicating Science Effectively: A Research Agenda. Washington, DC: National Academies Press. doi:10.17226/23674</w:t>
      </w:r>
    </w:p>
    <w:p>
      <w:pPr>
        <w:spacing w:after="40" w:before="40"/>
        <w:ind w:left="360" w:hanging="360"/>
      </w:pPr>
      <w:r>
        <w:rPr>
          <w:rFonts w:ascii="Arial" w:cs="Arial" w:eastAsia="Arial" w:hAnsi="Arial"/>
          <w:color w:val="1a1a1a"/>
          <w:sz w:val="18"/>
          <w:szCs w:val="18"/>
        </w:rPr>
        <w:t xml:space="preserve">Wardle, Claire, and Hossein Derakhshan. 2017. 'Information Disorder: Toward an Interdisciplinary Framework for Research and Policy Making.' Council of Europe Report DGI(2017)09. Available at rm.coe.int</w:t>
      </w:r>
    </w:p>
    <w:p>
      <w:pPr>
        <w:spacing w:after="0" w:before="160"/>
      </w:pPr>
      <w:r>
        <w:t xml:space="preserve"/>
      </w:r>
    </w:p>
    <w:p>
      <w:pPr>
        <w:jc w:val="center"/>
      </w:pPr>
      <w:r>
        <w:rPr>
          <w:rFonts w:ascii="Arial" w:cs="Arial" w:eastAsia="Arial" w:hAnsi="Arial"/>
          <w:i/>
          <w:iCs/>
          <w:color w:val="888888"/>
          <w:sz w:val="16"/>
          <w:szCs w:val="16"/>
        </w:rPr>
        <w:t xml:space="preserve">This reading packet guide may be freely adapted for non-commercial educational use.</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6"/>
        <w:szCs w:val="16"/>
      </w:rPr>
      <w:t xml:space="preserve">Understanding Antiscience — Reading Packet Guide  |  Page </w:t>
    </w:r>
    <w:r>
      <w:rPr>
        <w:rFonts w:ascii="Arial" w:cs="Arial" w:eastAsia="Arial" w:hAnsi="Arial"/>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ksefysutm-yh1exfaq-cw" Type="http://schemas.openxmlformats.org/officeDocument/2006/relationships/hyperlink" Target="https://www.science.org/doi/10.1126/science.1103618" TargetMode="External"/><Relationship Id="rIdljf53_6qfcdc9ghgsvomg" Type="http://schemas.openxmlformats.org/officeDocument/2006/relationships/hyperlink" Target="https://academic.oup.com/eurpub/article/19/1/2/463780" TargetMode="External"/><Relationship Id="rIdsiiksrtrrlkb8buudo-n6" Type="http://schemas.openxmlformats.org/officeDocument/2006/relationships/hyperlink" Target="https://networkpropaganda.org" TargetMode="External"/><Relationship Id="rIdo1urppatpwrrkghn4i6hd" Type="http://schemas.openxmlformats.org/officeDocument/2006/relationships/hyperlink" Target="https://rm.coe.int/information-disorder-toward-an-interdisciplinary-framework-for-researc/168076277c" TargetMode="External"/><Relationship Id="rIdp6ufvsmue6sdweh-rkasv" Type="http://schemas.openxmlformats.org/officeDocument/2006/relationships/hyperlink" Target="https://doi.org/10.1016/j.cognition.2018.06.011" TargetMode="External"/><Relationship Id="rIdnmjz3x63fntcxq1b7stx4" Type="http://schemas.openxmlformats.org/officeDocument/2006/relationships/hyperlink" Target="https://doi.org/10.1002/gch2.201600008" TargetMode="External"/><Relationship Id="rIdctl2nomadvggv839csz15" Type="http://schemas.openxmlformats.org/officeDocument/2006/relationships/hyperlink" Target="https://www.debunkinhandbook.org" TargetMode="External"/><Relationship Id="rIdw3e2bu3ilcqjhuxkpu6ox" Type="http://schemas.openxmlformats.org/officeDocument/2006/relationships/hyperlink" Target="https://doi.org/10.1371/journal.pone.0175799" TargetMode="External"/><Relationship Id="rIdlgucvn-hivcomwz3al40d" Type="http://schemas.openxmlformats.org/officeDocument/2006/relationships/hyperlink" Target="https://doi.org/10.1057/s41599-019-0279-9" TargetMode="External"/><Relationship Id="rIdrw9biu3huxikvduq9muf0" Type="http://schemas.openxmlformats.org/officeDocument/2006/relationships/hyperlink" Target="https://doi.org/10.17226/23674" TargetMode="External"/><Relationship Id="rIdvi4hyjv1qmrsc73il1q5e" Type="http://schemas.openxmlformats.org/officeDocument/2006/relationships/hyperlink" Target="https://doi.org/10.1016/j.jarmac.2017.07.008" TargetMode="External"/><Relationship Id="rIdykvzgetvnf2g3pn1yygx6" Type="http://schemas.openxmlformats.org/officeDocument/2006/relationships/hyperlink" Target="https://crankyuncle.com" TargetMode="External"/><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2026-05-18T23:01:21.923Z</dcterms:created>
  <dcterms:modified xsi:type="dcterms:W3CDTF">2026-05-18T23:01:21.937Z</dcterms:modified>
</cp:coreProperties>
</file>

<file path=docProps/custom.xml><?xml version="1.0" encoding="utf-8"?>
<Properties xmlns="http://schemas.openxmlformats.org/officeDocument/2006/custom-properties" xmlns:vt="http://schemas.openxmlformats.org/officeDocument/2006/docPropsVTypes"/>
</file>